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D61" w:rsidRDefault="005B540C">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b/>
          <w:bCs/>
          <w:sz w:val="28"/>
          <w:szCs w:val="28"/>
          <w:rtl/>
        </w:rPr>
        <w:t>ملتقى وطني حول ضمان جودة التعليم العالي في ظل التوجهات الجديدة لقطاع التعليم العالي في الجزائر</w:t>
      </w:r>
    </w:p>
    <w:p w:rsidR="00E47D61" w:rsidRDefault="005B540C">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b/>
          <w:bCs/>
          <w:sz w:val="28"/>
          <w:szCs w:val="28"/>
          <w:rtl/>
        </w:rPr>
        <w:t xml:space="preserve">محور المداخلة (المحور الأول): أساسيات حول ضمان </w:t>
      </w:r>
      <w:r w:rsidR="0066137B">
        <w:rPr>
          <w:rFonts w:ascii="Traditional Arabic" w:eastAsia="Calibri" w:hAnsi="Traditional Arabic" w:cs="Traditional Arabic"/>
          <w:b/>
          <w:bCs/>
          <w:sz w:val="28"/>
          <w:szCs w:val="28"/>
          <w:rtl/>
        </w:rPr>
        <w:t>الجودة في مؤسسات التعليم العالي</w:t>
      </w:r>
      <w:r>
        <w:rPr>
          <w:rFonts w:ascii="Traditional Arabic" w:eastAsia="Calibri" w:hAnsi="Traditional Arabic" w:cs="Traditional Arabic"/>
          <w:b/>
          <w:bCs/>
          <w:sz w:val="28"/>
          <w:szCs w:val="28"/>
          <w:rtl/>
        </w:rPr>
        <w:t xml:space="preserve"> (ماهية ضمان الجودة، </w:t>
      </w:r>
      <w:proofErr w:type="spellStart"/>
      <w:r>
        <w:rPr>
          <w:rFonts w:ascii="Traditional Arabic" w:eastAsia="Calibri" w:hAnsi="Traditional Arabic" w:cs="Traditional Arabic"/>
          <w:b/>
          <w:bCs/>
          <w:sz w:val="28"/>
          <w:szCs w:val="28"/>
          <w:rtl/>
        </w:rPr>
        <w:t>معاييير</w:t>
      </w:r>
      <w:proofErr w:type="spellEnd"/>
      <w:r>
        <w:rPr>
          <w:rFonts w:ascii="Traditional Arabic" w:eastAsia="Calibri" w:hAnsi="Traditional Arabic" w:cs="Traditional Arabic"/>
          <w:b/>
          <w:bCs/>
          <w:sz w:val="28"/>
          <w:szCs w:val="28"/>
          <w:rtl/>
        </w:rPr>
        <w:t xml:space="preserve"> ضمان الجودة، نظم ضمان الجودة، تقييم ضمان الجودة)</w:t>
      </w:r>
    </w:p>
    <w:p w:rsidR="00E47D61" w:rsidRDefault="005B540C">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b/>
          <w:bCs/>
          <w:sz w:val="28"/>
          <w:szCs w:val="28"/>
          <w:rtl/>
        </w:rPr>
        <w:t>عنوان المداخلة: تعزيز ضمان جودة التعليم العالي في الجزائر: مقاربة تحليلية لمتطلبات المرجع الوطني</w:t>
      </w:r>
      <w:r>
        <w:rPr>
          <w:rFonts w:ascii="Traditional Arabic" w:eastAsia="Calibri" w:hAnsi="Traditional Arabic" w:cs="Traditional Arabic" w:hint="cs"/>
          <w:b/>
          <w:bCs/>
          <w:sz w:val="28"/>
          <w:szCs w:val="28"/>
          <w:rtl/>
        </w:rPr>
        <w:t xml:space="preserve"> </w:t>
      </w:r>
      <w:r>
        <w:rPr>
          <w:rFonts w:ascii="Sakkal Majalla" w:eastAsia="Calibri" w:hAnsi="Sakkal Majalla" w:cs="Sakkal Majalla"/>
          <w:b/>
          <w:bCs/>
        </w:rPr>
        <w:t xml:space="preserve">RNAQ-ESRS </w:t>
      </w:r>
      <w:proofErr w:type="gramStart"/>
      <w:r>
        <w:rPr>
          <w:rFonts w:ascii="Sakkal Majalla" w:eastAsia="Calibri" w:hAnsi="Sakkal Majalla" w:cs="Sakkal Majalla"/>
          <w:b/>
          <w:bCs/>
        </w:rPr>
        <w:t>2023</w:t>
      </w:r>
      <w:r>
        <w:rPr>
          <w:rFonts w:ascii="Sakkal Majalla" w:eastAsia="Calibri" w:hAnsi="Sakkal Majalla" w:cs="Sakkal Majalla" w:hint="cs"/>
          <w:b/>
          <w:bCs/>
          <w:rtl/>
        </w:rPr>
        <w:t xml:space="preserve"> </w:t>
      </w:r>
      <w:r>
        <w:rPr>
          <w:rFonts w:ascii="Traditional Arabic" w:eastAsia="Calibri" w:hAnsi="Traditional Arabic" w:cs="Traditional Arabic"/>
          <w:b/>
          <w:bCs/>
          <w:sz w:val="28"/>
          <w:szCs w:val="28"/>
          <w:rtl/>
        </w:rPr>
        <w:t xml:space="preserve"> في</w:t>
      </w:r>
      <w:proofErr w:type="gramEnd"/>
      <w:r>
        <w:rPr>
          <w:rFonts w:ascii="Traditional Arabic" w:eastAsia="Calibri" w:hAnsi="Traditional Arabic" w:cs="Traditional Arabic"/>
          <w:b/>
          <w:bCs/>
          <w:sz w:val="28"/>
          <w:szCs w:val="28"/>
          <w:rtl/>
        </w:rPr>
        <w:t xml:space="preserve"> ظل التوجهات الاستراتيجية الجديدة لقطاع التعليم العالي</w:t>
      </w:r>
    </w:p>
    <w:tbl>
      <w:tblPr>
        <w:tblStyle w:val="Grilledutableau1"/>
        <w:tblW w:w="0" w:type="auto"/>
        <w:jc w:val="right"/>
        <w:tblCellMar>
          <w:top w:w="15" w:type="dxa"/>
          <w:left w:w="15" w:type="dxa"/>
          <w:bottom w:w="15" w:type="dxa"/>
          <w:right w:w="15" w:type="dxa"/>
        </w:tblCellMar>
        <w:tblLook w:val="04A0" w:firstRow="1" w:lastRow="0" w:firstColumn="1" w:lastColumn="0" w:noHBand="0" w:noVBand="1"/>
      </w:tblPr>
      <w:tblGrid>
        <w:gridCol w:w="4443"/>
        <w:gridCol w:w="4613"/>
      </w:tblGrid>
      <w:tr w:rsidR="00E47D61">
        <w:trPr>
          <w:jc w:val="right"/>
        </w:trPr>
        <w:tc>
          <w:tcPr>
            <w:tcW w:w="4469" w:type="dxa"/>
            <w:tcBorders>
              <w:top w:val="outset" w:sz="6" w:space="0" w:color="auto"/>
              <w:left w:val="outset" w:sz="6" w:space="0" w:color="auto"/>
              <w:bottom w:val="outset" w:sz="6" w:space="0" w:color="auto"/>
              <w:right w:val="outset" w:sz="6" w:space="0" w:color="auto"/>
            </w:tcBorders>
          </w:tcPr>
          <w:p w:rsidR="00E47D61" w:rsidRDefault="005B540C">
            <w:pPr>
              <w:jc w:val="center"/>
              <w:rPr>
                <w:rFonts w:ascii="Sakkal Majalla" w:eastAsia="Calibri" w:hAnsi="Sakkal Majalla" w:cs="Sakkal Majalla"/>
                <w:b/>
                <w:bCs/>
                <w:rtl/>
              </w:rPr>
            </w:pPr>
            <w:proofErr w:type="spellStart"/>
            <w:r>
              <w:rPr>
                <w:rFonts w:ascii="Sakkal Majalla" w:eastAsia="Calibri" w:hAnsi="Sakkal Majalla" w:cs="Sakkal Majalla"/>
                <w:b/>
                <w:bCs/>
                <w:rtl/>
              </w:rPr>
              <w:t>صاوشي</w:t>
            </w:r>
            <w:proofErr w:type="spellEnd"/>
            <w:r>
              <w:rPr>
                <w:rFonts w:ascii="Sakkal Majalla" w:eastAsia="Calibri" w:hAnsi="Sakkal Majalla" w:cs="Sakkal Majalla"/>
                <w:b/>
                <w:bCs/>
                <w:rtl/>
              </w:rPr>
              <w:t xml:space="preserve"> </w:t>
            </w:r>
            <w:proofErr w:type="spellStart"/>
            <w:r>
              <w:rPr>
                <w:rFonts w:ascii="Sakkal Majalla" w:eastAsia="Calibri" w:hAnsi="Sakkal Majalla" w:cs="Sakkal Majalla"/>
                <w:b/>
                <w:bCs/>
                <w:rtl/>
              </w:rPr>
              <w:t>صونية</w:t>
            </w:r>
            <w:proofErr w:type="spellEnd"/>
            <w:r>
              <w:rPr>
                <w:rFonts w:ascii="Sakkal Majalla" w:eastAsia="Calibri" w:hAnsi="Sakkal Majalla" w:cs="Sakkal Majalla"/>
                <w:b/>
                <w:bCs/>
                <w:rtl/>
              </w:rPr>
              <w:t xml:space="preserve"> </w:t>
            </w:r>
          </w:p>
        </w:tc>
        <w:tc>
          <w:tcPr>
            <w:tcW w:w="4633" w:type="dxa"/>
            <w:tcBorders>
              <w:top w:val="outset" w:sz="6" w:space="0" w:color="auto"/>
              <w:left w:val="outset" w:sz="6" w:space="0" w:color="auto"/>
              <w:bottom w:val="outset" w:sz="6" w:space="0" w:color="auto"/>
              <w:right w:val="outset" w:sz="6" w:space="0" w:color="auto"/>
            </w:tcBorders>
          </w:tcPr>
          <w:p w:rsidR="00E47D61" w:rsidRDefault="005B540C">
            <w:pPr>
              <w:jc w:val="center"/>
              <w:rPr>
                <w:rFonts w:ascii="Sakkal Majalla" w:eastAsia="Calibri" w:hAnsi="Sakkal Majalla" w:cs="Sakkal Majalla"/>
                <w:b/>
                <w:bCs/>
                <w:rtl/>
              </w:rPr>
            </w:pPr>
            <w:r>
              <w:rPr>
                <w:rFonts w:ascii="Sakkal Majalla" w:eastAsia="Calibri" w:hAnsi="Sakkal Majalla" w:cs="Sakkal Majalla"/>
                <w:b/>
                <w:bCs/>
                <w:rtl/>
              </w:rPr>
              <w:t>بوشوشة مريم</w:t>
            </w:r>
          </w:p>
        </w:tc>
      </w:tr>
      <w:tr w:rsidR="00E47D61">
        <w:trPr>
          <w:jc w:val="right"/>
        </w:trPr>
        <w:tc>
          <w:tcPr>
            <w:tcW w:w="4469" w:type="dxa"/>
            <w:tcBorders>
              <w:top w:val="nil"/>
              <w:left w:val="outset" w:sz="6" w:space="0" w:color="auto"/>
              <w:bottom w:val="outset" w:sz="6" w:space="0" w:color="auto"/>
              <w:right w:val="outset" w:sz="6" w:space="0" w:color="auto"/>
            </w:tcBorders>
          </w:tcPr>
          <w:p w:rsidR="00E47D61" w:rsidRDefault="005B540C">
            <w:pPr>
              <w:jc w:val="center"/>
              <w:rPr>
                <w:rFonts w:ascii="Sakkal Majalla" w:eastAsia="Calibri" w:hAnsi="Sakkal Majalla" w:cs="Sakkal Majalla"/>
                <w:b/>
                <w:bCs/>
                <w:rtl/>
              </w:rPr>
            </w:pPr>
            <w:r>
              <w:rPr>
                <w:rFonts w:ascii="Sakkal Majalla" w:eastAsia="Calibri" w:hAnsi="Sakkal Majalla" w:cs="Sakkal Majalla"/>
                <w:b/>
                <w:bCs/>
                <w:rtl/>
              </w:rPr>
              <w:t>أستاذ محاضر</w:t>
            </w:r>
            <w:r>
              <w:rPr>
                <w:rFonts w:ascii="Sakkal Majalla" w:eastAsia="Calibri" w:hAnsi="Sakkal Majalla" w:cs="Sakkal Majalla" w:hint="cs"/>
                <w:b/>
                <w:bCs/>
                <w:rtl/>
              </w:rPr>
              <w:t xml:space="preserve"> </w:t>
            </w:r>
            <w:r>
              <w:rPr>
                <w:rFonts w:ascii="Sakkal Majalla" w:eastAsia="Calibri" w:hAnsi="Sakkal Majalla" w:cs="Sakkal Majalla"/>
                <w:b/>
                <w:bCs/>
                <w:rtl/>
              </w:rPr>
              <w:t xml:space="preserve"> </w:t>
            </w:r>
            <w:r>
              <w:rPr>
                <w:rFonts w:ascii="Sakkal Majalla" w:eastAsia="Calibri" w:hAnsi="Sakkal Majalla" w:cs="Sakkal Majalla" w:hint="cs"/>
                <w:b/>
                <w:bCs/>
                <w:rtl/>
              </w:rPr>
              <w:t>أ</w:t>
            </w:r>
          </w:p>
        </w:tc>
        <w:tc>
          <w:tcPr>
            <w:tcW w:w="4633" w:type="dxa"/>
            <w:tcBorders>
              <w:top w:val="nil"/>
              <w:left w:val="outset" w:sz="6" w:space="0" w:color="auto"/>
              <w:bottom w:val="outset" w:sz="6" w:space="0" w:color="auto"/>
              <w:right w:val="outset" w:sz="6" w:space="0" w:color="auto"/>
            </w:tcBorders>
          </w:tcPr>
          <w:p w:rsidR="00E47D61" w:rsidRDefault="005B540C">
            <w:pPr>
              <w:jc w:val="center"/>
              <w:rPr>
                <w:rFonts w:ascii="Sakkal Majalla" w:eastAsia="Calibri" w:hAnsi="Sakkal Majalla" w:cs="Sakkal Majalla"/>
                <w:b/>
                <w:bCs/>
                <w:rtl/>
              </w:rPr>
            </w:pPr>
            <w:r>
              <w:rPr>
                <w:rFonts w:ascii="Sakkal Majalla" w:eastAsia="Calibri" w:hAnsi="Sakkal Majalla" w:cs="Sakkal Majalla"/>
                <w:b/>
                <w:bCs/>
                <w:rtl/>
              </w:rPr>
              <w:t>أستاذ محاضر</w:t>
            </w:r>
            <w:r>
              <w:rPr>
                <w:rFonts w:ascii="Sakkal Majalla" w:eastAsia="Calibri" w:hAnsi="Sakkal Majalla" w:cs="Sakkal Majalla" w:hint="cs"/>
                <w:b/>
                <w:bCs/>
                <w:rtl/>
              </w:rPr>
              <w:t xml:space="preserve"> </w:t>
            </w:r>
            <w:r>
              <w:rPr>
                <w:rFonts w:ascii="Sakkal Majalla" w:eastAsia="Calibri" w:hAnsi="Sakkal Majalla" w:cs="Sakkal Majalla"/>
                <w:b/>
                <w:bCs/>
                <w:rtl/>
              </w:rPr>
              <w:t xml:space="preserve"> </w:t>
            </w:r>
            <w:r>
              <w:rPr>
                <w:rFonts w:ascii="Sakkal Majalla" w:eastAsia="Calibri" w:hAnsi="Sakkal Majalla" w:cs="Sakkal Majalla" w:hint="cs"/>
                <w:b/>
                <w:bCs/>
                <w:rtl/>
              </w:rPr>
              <w:t>أ</w:t>
            </w:r>
          </w:p>
        </w:tc>
      </w:tr>
      <w:tr w:rsidR="00E47D61">
        <w:trPr>
          <w:jc w:val="right"/>
        </w:trPr>
        <w:tc>
          <w:tcPr>
            <w:tcW w:w="4469" w:type="dxa"/>
            <w:tcBorders>
              <w:top w:val="nil"/>
              <w:left w:val="outset" w:sz="6" w:space="0" w:color="auto"/>
              <w:bottom w:val="nil"/>
              <w:right w:val="outset" w:sz="6" w:space="0" w:color="auto"/>
            </w:tcBorders>
          </w:tcPr>
          <w:p w:rsidR="00E47D61" w:rsidRDefault="001D5C22">
            <w:pPr>
              <w:jc w:val="center"/>
              <w:rPr>
                <w:rFonts w:ascii="Sakkal Majalla" w:eastAsia="Calibri" w:hAnsi="Sakkal Majalla" w:cs="Sakkal Majalla"/>
                <w:b/>
                <w:bCs/>
                <w:rtl/>
              </w:rPr>
            </w:pPr>
            <w:hyperlink r:id="rId8" w:history="1">
              <w:r w:rsidR="005B540C">
                <w:rPr>
                  <w:rStyle w:val="Lienhypertexte"/>
                </w:rPr>
                <w:t>sonia.saouchi@univ-constantine2.dz</w:t>
              </w:r>
            </w:hyperlink>
            <w:r w:rsidR="005B540C">
              <w:rPr>
                <w:rFonts w:ascii="Sakkal Majalla" w:eastAsia="Calibri" w:hAnsi="Sakkal Majalla" w:cs="Sakkal Majalla"/>
                <w:b/>
                <w:bCs/>
              </w:rPr>
              <w:t xml:space="preserve"> </w:t>
            </w:r>
          </w:p>
        </w:tc>
        <w:tc>
          <w:tcPr>
            <w:tcW w:w="4633" w:type="dxa"/>
            <w:tcBorders>
              <w:top w:val="nil"/>
              <w:left w:val="outset" w:sz="6" w:space="0" w:color="auto"/>
              <w:bottom w:val="nil"/>
              <w:right w:val="outset" w:sz="6" w:space="0" w:color="auto"/>
            </w:tcBorders>
          </w:tcPr>
          <w:p w:rsidR="00E47D61" w:rsidRDefault="001D5C22">
            <w:pPr>
              <w:jc w:val="center"/>
              <w:rPr>
                <w:rFonts w:ascii="Sakkal Majalla" w:eastAsia="Calibri" w:hAnsi="Sakkal Majalla" w:cs="Sakkal Majalla"/>
                <w:b/>
                <w:bCs/>
              </w:rPr>
            </w:pPr>
            <w:hyperlink r:id="rId9" w:history="1">
              <w:r w:rsidR="005B540C">
                <w:rPr>
                  <w:rStyle w:val="Lienhypertexte"/>
                </w:rPr>
                <w:t>meriem.bouchoucha@univ-constantine2.dz</w:t>
              </w:r>
            </w:hyperlink>
            <w:r w:rsidR="005B540C">
              <w:rPr>
                <w:b/>
                <w:bCs/>
              </w:rPr>
              <w:t xml:space="preserve"> </w:t>
            </w:r>
          </w:p>
        </w:tc>
      </w:tr>
      <w:tr w:rsidR="00E47D61">
        <w:trPr>
          <w:jc w:val="right"/>
        </w:trPr>
        <w:tc>
          <w:tcPr>
            <w:tcW w:w="4469" w:type="dxa"/>
            <w:tcBorders>
              <w:top w:val="nil"/>
              <w:left w:val="outset" w:sz="6" w:space="0" w:color="auto"/>
              <w:bottom w:val="nil"/>
              <w:right w:val="outset" w:sz="6" w:space="0" w:color="auto"/>
            </w:tcBorders>
          </w:tcPr>
          <w:p w:rsidR="00E47D61" w:rsidRDefault="005B540C">
            <w:pPr>
              <w:jc w:val="center"/>
              <w:rPr>
                <w:lang w:val="en-US" w:bidi="ar-DZ"/>
              </w:rPr>
            </w:pPr>
            <w:r>
              <w:rPr>
                <w:rFonts w:hint="cs"/>
                <w:rtl/>
                <w:lang w:bidi="ar-DZ"/>
              </w:rPr>
              <w:t>مخبر</w:t>
            </w:r>
            <w:r>
              <w:rPr>
                <w:rFonts w:hint="cs"/>
                <w:rtl/>
                <w:lang w:val="en-US" w:bidi="ar-DZ"/>
              </w:rPr>
              <w:t xml:space="preserve"> البحوث التسويقية</w:t>
            </w:r>
          </w:p>
        </w:tc>
        <w:tc>
          <w:tcPr>
            <w:tcW w:w="4633" w:type="dxa"/>
            <w:tcBorders>
              <w:top w:val="nil"/>
              <w:left w:val="outset" w:sz="6" w:space="0" w:color="auto"/>
              <w:bottom w:val="nil"/>
              <w:right w:val="outset" w:sz="6" w:space="0" w:color="auto"/>
            </w:tcBorders>
          </w:tcPr>
          <w:p w:rsidR="00E47D61" w:rsidRDefault="005B540C">
            <w:pPr>
              <w:jc w:val="center"/>
              <w:rPr>
                <w:lang w:val="en-US" w:bidi="ar-DZ"/>
              </w:rPr>
            </w:pPr>
            <w:r>
              <w:rPr>
                <w:rFonts w:hint="cs"/>
                <w:rtl/>
                <w:lang w:bidi="ar-DZ"/>
              </w:rPr>
              <w:t>مخبر</w:t>
            </w:r>
            <w:r>
              <w:rPr>
                <w:rFonts w:hint="cs"/>
                <w:rtl/>
                <w:lang w:val="en-US" w:bidi="ar-DZ"/>
              </w:rPr>
              <w:t xml:space="preserve"> الاقتصاد وإدارة الأعمال </w:t>
            </w:r>
          </w:p>
        </w:tc>
      </w:tr>
      <w:tr w:rsidR="00E47D61">
        <w:trPr>
          <w:jc w:val="right"/>
        </w:trPr>
        <w:tc>
          <w:tcPr>
            <w:tcW w:w="4469" w:type="dxa"/>
            <w:tcBorders>
              <w:top w:val="nil"/>
              <w:left w:val="outset" w:sz="6" w:space="0" w:color="auto"/>
              <w:bottom w:val="outset" w:sz="6" w:space="0" w:color="auto"/>
              <w:right w:val="outset" w:sz="6" w:space="0" w:color="auto"/>
            </w:tcBorders>
            <w:shd w:val="clear" w:color="auto" w:fill="auto"/>
          </w:tcPr>
          <w:p w:rsidR="00E47D61" w:rsidRDefault="005B540C">
            <w:pPr>
              <w:jc w:val="center"/>
              <w:rPr>
                <w:rtl/>
                <w:lang w:val="en-US" w:bidi="ar-DZ"/>
              </w:rPr>
            </w:pPr>
            <w:r>
              <w:rPr>
                <w:rFonts w:hint="cs"/>
                <w:rtl/>
                <w:lang w:bidi="ar-DZ"/>
              </w:rPr>
              <w:t>جامعة</w:t>
            </w:r>
            <w:r>
              <w:rPr>
                <w:rFonts w:hint="cs"/>
                <w:rtl/>
                <w:lang w:val="en-US" w:bidi="ar-DZ"/>
              </w:rPr>
              <w:t xml:space="preserve"> عبد الحميد مهري قسنطينة 2</w:t>
            </w:r>
          </w:p>
        </w:tc>
        <w:tc>
          <w:tcPr>
            <w:tcW w:w="4633" w:type="dxa"/>
            <w:tcBorders>
              <w:top w:val="nil"/>
              <w:left w:val="outset" w:sz="6" w:space="0" w:color="auto"/>
              <w:bottom w:val="outset" w:sz="6" w:space="0" w:color="auto"/>
              <w:right w:val="outset" w:sz="6" w:space="0" w:color="auto"/>
            </w:tcBorders>
          </w:tcPr>
          <w:p w:rsidR="00E47D61" w:rsidRDefault="005B540C">
            <w:pPr>
              <w:jc w:val="center"/>
              <w:rPr>
                <w:rtl/>
                <w:lang w:val="en-US" w:bidi="ar-DZ"/>
              </w:rPr>
            </w:pPr>
            <w:r>
              <w:rPr>
                <w:rFonts w:hint="cs"/>
                <w:rtl/>
                <w:lang w:bidi="ar-DZ"/>
              </w:rPr>
              <w:t>جامعة</w:t>
            </w:r>
            <w:r>
              <w:rPr>
                <w:rFonts w:hint="cs"/>
                <w:rtl/>
                <w:lang w:val="en-US" w:bidi="ar-DZ"/>
              </w:rPr>
              <w:t xml:space="preserve"> عبد الحميد مهري قسنطينة 2</w:t>
            </w:r>
          </w:p>
        </w:tc>
      </w:tr>
    </w:tbl>
    <w:p w:rsidR="00E47D61" w:rsidRDefault="005B540C">
      <w:pPr>
        <w:bidi/>
        <w:rPr>
          <w:rFonts w:ascii="Traditional Arabic" w:hAnsi="Traditional Arabic" w:cs="Traditional Arabic"/>
          <w:b/>
          <w:bCs/>
          <w:sz w:val="28"/>
          <w:szCs w:val="28"/>
          <w:rtl/>
        </w:rPr>
      </w:pPr>
      <w:r>
        <w:rPr>
          <w:rFonts w:ascii="Traditional Arabic" w:hAnsi="Traditional Arabic" w:cs="Traditional Arabic" w:hint="cs"/>
          <w:b/>
          <w:bCs/>
          <w:sz w:val="28"/>
          <w:szCs w:val="28"/>
          <w:rtl/>
        </w:rPr>
        <w:t>الملخص</w:t>
      </w:r>
    </w:p>
    <w:p w:rsidR="00E47D61" w:rsidRDefault="005B540C">
      <w:pPr>
        <w:bidi/>
        <w:jc w:val="both"/>
        <w:rPr>
          <w:rFonts w:ascii="Traditional Arabic" w:eastAsia="Calibri" w:hAnsi="Traditional Arabic" w:cs="Traditional Arabic"/>
          <w:sz w:val="28"/>
          <w:szCs w:val="28"/>
          <w:rtl/>
        </w:rPr>
      </w:pPr>
      <w:r>
        <w:rPr>
          <w:rFonts w:ascii="Traditional Arabic" w:hAnsi="Traditional Arabic" w:cs="Traditional Arabic"/>
          <w:sz w:val="28"/>
          <w:szCs w:val="28"/>
          <w:rtl/>
        </w:rPr>
        <w:t xml:space="preserve">تهدف هذه الدراسة إلى تقديم مقاربة تحليلية للمرجع الوطني لضمان الجودة في التعليم العالي والبحث العلمي </w:t>
      </w:r>
      <w:r>
        <w:rPr>
          <w:rFonts w:ascii="Traditional Arabic" w:eastAsia="Calibri" w:hAnsi="Traditional Arabic" w:cs="Traditional Arabic"/>
          <w:sz w:val="28"/>
          <w:szCs w:val="28"/>
        </w:rPr>
        <w:t>RNAQ-ESRS 2023</w:t>
      </w:r>
      <w:r>
        <w:rPr>
          <w:rFonts w:ascii="Traditional Arabic" w:eastAsia="Calibri" w:hAnsi="Traditional Arabic" w:cs="Traditional Arabic"/>
          <w:sz w:val="28"/>
          <w:szCs w:val="28"/>
          <w:rtl/>
        </w:rPr>
        <w:t>، الذي يمثل الإطار المرجعي المعتمد لتقويم وتحسين الأداء الأكاديمي وال</w:t>
      </w:r>
      <w:r>
        <w:rPr>
          <w:rFonts w:ascii="Traditional Arabic" w:eastAsia="Calibri" w:hAnsi="Traditional Arabic" w:cs="Traditional Arabic" w:hint="cs"/>
          <w:sz w:val="28"/>
          <w:szCs w:val="28"/>
          <w:rtl/>
        </w:rPr>
        <w:t>إد</w:t>
      </w:r>
      <w:r>
        <w:rPr>
          <w:rFonts w:ascii="Traditional Arabic" w:eastAsia="Calibri" w:hAnsi="Traditional Arabic" w:cs="Traditional Arabic"/>
          <w:sz w:val="28"/>
          <w:szCs w:val="28"/>
          <w:rtl/>
        </w:rPr>
        <w:t>اري والبحثي للمؤسسات الجامعية الجزائرية. ارتكزت الدراسة على النه</w:t>
      </w:r>
      <w:r>
        <w:rPr>
          <w:rFonts w:ascii="Traditional Arabic" w:eastAsia="Calibri" w:hAnsi="Traditional Arabic" w:cs="Traditional Arabic" w:hint="cs"/>
          <w:sz w:val="28"/>
          <w:szCs w:val="28"/>
          <w:rtl/>
        </w:rPr>
        <w:t>ج</w:t>
      </w:r>
      <w:r>
        <w:rPr>
          <w:rFonts w:ascii="Traditional Arabic" w:eastAsia="Calibri" w:hAnsi="Traditional Arabic" w:cs="Traditional Arabic"/>
          <w:sz w:val="28"/>
          <w:szCs w:val="28"/>
          <w:rtl/>
        </w:rPr>
        <w:t xml:space="preserve"> الوصفي التحليلي في تحليل المجالات الثمانية التي يتضمنها المرجع، وربطها بالتوجهات الاستراتيجية الجديدة لقطاع التعليم العالي، مثل التدويل والانفتاح الدولي، الابتكار وربط الجامعة بالمح</w:t>
      </w:r>
      <w:r w:rsidR="00F15F12">
        <w:rPr>
          <w:rFonts w:ascii="Traditional Arabic" w:eastAsia="Calibri" w:hAnsi="Traditional Arabic" w:cs="Traditional Arabic"/>
          <w:sz w:val="28"/>
          <w:szCs w:val="28"/>
          <w:rtl/>
        </w:rPr>
        <w:t xml:space="preserve">يط الاقتصادي، </w:t>
      </w:r>
      <w:proofErr w:type="spellStart"/>
      <w:r w:rsidR="00F15F12">
        <w:rPr>
          <w:rFonts w:ascii="Traditional Arabic" w:eastAsia="Calibri" w:hAnsi="Traditional Arabic" w:cs="Traditional Arabic"/>
          <w:sz w:val="28"/>
          <w:szCs w:val="28"/>
          <w:rtl/>
        </w:rPr>
        <w:t>الحوكمة</w:t>
      </w:r>
      <w:proofErr w:type="spellEnd"/>
      <w:r w:rsidR="00F15F12">
        <w:rPr>
          <w:rFonts w:ascii="Traditional Arabic" w:eastAsia="Calibri" w:hAnsi="Traditional Arabic" w:cs="Traditional Arabic"/>
          <w:sz w:val="28"/>
          <w:szCs w:val="28"/>
          <w:rtl/>
        </w:rPr>
        <w:t xml:space="preserve"> الرشيدة </w:t>
      </w:r>
      <w:proofErr w:type="spellStart"/>
      <w:r w:rsidR="00F15F12">
        <w:rPr>
          <w:rFonts w:ascii="Traditional Arabic" w:eastAsia="Calibri" w:hAnsi="Traditional Arabic" w:cs="Traditional Arabic"/>
          <w:sz w:val="28"/>
          <w:szCs w:val="28"/>
          <w:rtl/>
        </w:rPr>
        <w:t>و</w:t>
      </w:r>
      <w:r>
        <w:rPr>
          <w:rFonts w:ascii="Traditional Arabic" w:eastAsia="Calibri" w:hAnsi="Traditional Arabic" w:cs="Traditional Arabic"/>
          <w:sz w:val="28"/>
          <w:szCs w:val="28"/>
          <w:rtl/>
        </w:rPr>
        <w:t>الرقمنة</w:t>
      </w:r>
      <w:proofErr w:type="spellEnd"/>
      <w:r w:rsidR="00F15F12">
        <w:rPr>
          <w:rFonts w:ascii="Traditional Arabic" w:eastAsia="Calibri" w:hAnsi="Traditional Arabic" w:cs="Traditional Arabic"/>
          <w:sz w:val="28"/>
          <w:szCs w:val="28"/>
          <w:rtl/>
        </w:rPr>
        <w:t>، تحسين جودة</w:t>
      </w:r>
      <w:r>
        <w:rPr>
          <w:rFonts w:ascii="Traditional Arabic" w:eastAsia="Calibri" w:hAnsi="Traditional Arabic" w:cs="Traditional Arabic"/>
          <w:sz w:val="28"/>
          <w:szCs w:val="28"/>
          <w:rtl/>
        </w:rPr>
        <w:t xml:space="preserve"> الحياة الجامعية، إدماج البعد البيئي والاجتماعي، ومواءمة مخرجات التعليم مع سوق العمل.</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sz w:val="28"/>
          <w:szCs w:val="28"/>
          <w:rtl/>
        </w:rPr>
        <w:t>أظهرت النتائج أن المرجع يتميز بشمولية محاوره وتو</w:t>
      </w:r>
      <w:r>
        <w:rPr>
          <w:rFonts w:ascii="Traditional Arabic" w:eastAsia="Calibri" w:hAnsi="Traditional Arabic" w:cs="Traditional Arabic" w:hint="cs"/>
          <w:sz w:val="28"/>
          <w:szCs w:val="28"/>
          <w:rtl/>
        </w:rPr>
        <w:t>اف</w:t>
      </w:r>
      <w:r>
        <w:rPr>
          <w:rFonts w:ascii="Traditional Arabic" w:eastAsia="Calibri" w:hAnsi="Traditional Arabic" w:cs="Traditional Arabic"/>
          <w:sz w:val="28"/>
          <w:szCs w:val="28"/>
          <w:rtl/>
        </w:rPr>
        <w:t xml:space="preserve">قها مع هذه التوجهات، غير أن تطبيقه العملي يواجه تحديات، أبرزها ضعف الموارد المالية والبشرية، تفاوت مستويات </w:t>
      </w:r>
      <w:proofErr w:type="spellStart"/>
      <w:r>
        <w:rPr>
          <w:rFonts w:ascii="Traditional Arabic" w:eastAsia="Calibri" w:hAnsi="Traditional Arabic" w:cs="Traditional Arabic"/>
          <w:sz w:val="28"/>
          <w:szCs w:val="28"/>
          <w:rtl/>
        </w:rPr>
        <w:t>الرقمنة</w:t>
      </w:r>
      <w:proofErr w:type="spellEnd"/>
      <w:r>
        <w:rPr>
          <w:rFonts w:ascii="Traditional Arabic" w:eastAsia="Calibri" w:hAnsi="Traditional Arabic" w:cs="Traditional Arabic"/>
          <w:sz w:val="28"/>
          <w:szCs w:val="28"/>
          <w:rtl/>
        </w:rPr>
        <w:t xml:space="preserve"> بين الجامعات، وصعوبة استقطاب الطلبة الأجانب. ولتعزيز فعالية تطبيق المرجع يجب تعزيز القدرات المؤسسية، تطوير نظم المعلومات الرقمية، </w:t>
      </w:r>
      <w:proofErr w:type="spellStart"/>
      <w:r>
        <w:rPr>
          <w:rFonts w:ascii="Traditional Arabic" w:eastAsia="Calibri" w:hAnsi="Traditional Arabic" w:cs="Traditional Arabic"/>
          <w:sz w:val="28"/>
          <w:szCs w:val="28"/>
          <w:rtl/>
        </w:rPr>
        <w:t>وتخفيز</w:t>
      </w:r>
      <w:proofErr w:type="spellEnd"/>
      <w:r>
        <w:rPr>
          <w:rFonts w:ascii="Traditional Arabic" w:eastAsia="Calibri" w:hAnsi="Traditional Arabic" w:cs="Traditional Arabic"/>
          <w:sz w:val="28"/>
          <w:szCs w:val="28"/>
          <w:rtl/>
        </w:rPr>
        <w:t xml:space="preserve"> التنافسية بين الجامعات. كما تخلص الدراسة إلى أن تفعيل المرجع الوطني </w:t>
      </w:r>
      <w:r>
        <w:rPr>
          <w:rFonts w:ascii="Traditional Arabic" w:eastAsia="Calibri" w:hAnsi="Traditional Arabic" w:cs="Traditional Arabic"/>
          <w:sz w:val="28"/>
          <w:szCs w:val="28"/>
        </w:rPr>
        <w:t>RNAQ-ESRS 2023</w:t>
      </w:r>
      <w:r>
        <w:rPr>
          <w:rFonts w:ascii="Traditional Arabic" w:eastAsia="Calibri" w:hAnsi="Traditional Arabic" w:cs="Traditional Arabic"/>
          <w:sz w:val="28"/>
          <w:szCs w:val="28"/>
          <w:rtl/>
        </w:rPr>
        <w:t xml:space="preserve"> بشكل فعال يستلزم خططا مؤسسية واضحة ومؤشرات متابعة دقيقة.</w:t>
      </w:r>
    </w:p>
    <w:p w:rsidR="00E47D61" w:rsidRPr="005A703B" w:rsidRDefault="005B540C">
      <w:pPr>
        <w:bidi/>
        <w:jc w:val="both"/>
        <w:rPr>
          <w:rFonts w:ascii="Traditional Arabic" w:eastAsia="Calibri" w:hAnsi="Traditional Arabic" w:cs="Traditional Arabic"/>
          <w:b/>
          <w:bCs/>
          <w:sz w:val="28"/>
          <w:szCs w:val="28"/>
          <w:rtl/>
        </w:rPr>
      </w:pPr>
      <w:r w:rsidRPr="005A703B">
        <w:rPr>
          <w:rFonts w:ascii="Traditional Arabic" w:eastAsia="Calibri" w:hAnsi="Traditional Arabic" w:cs="Traditional Arabic"/>
          <w:b/>
          <w:bCs/>
          <w:sz w:val="28"/>
          <w:szCs w:val="28"/>
          <w:rtl/>
        </w:rPr>
        <w:t xml:space="preserve">الكلمات المفتاحية: </w:t>
      </w:r>
      <w:r w:rsidRPr="00B2256E">
        <w:rPr>
          <w:rFonts w:ascii="Traditional Arabic" w:eastAsia="Calibri" w:hAnsi="Traditional Arabic" w:cs="Traditional Arabic"/>
          <w:sz w:val="28"/>
          <w:szCs w:val="28"/>
          <w:rtl/>
        </w:rPr>
        <w:t xml:space="preserve">ضمان الجودة، التعليم العالي، </w:t>
      </w:r>
      <w:r w:rsidRPr="00B2256E">
        <w:rPr>
          <w:rFonts w:ascii="Traditional Arabic" w:eastAsia="Calibri" w:hAnsi="Traditional Arabic" w:cs="Traditional Arabic"/>
          <w:sz w:val="28"/>
          <w:szCs w:val="28"/>
        </w:rPr>
        <w:t>RNAQ-ESRS 2023</w:t>
      </w:r>
      <w:r w:rsidRPr="00B2256E">
        <w:rPr>
          <w:rFonts w:ascii="Traditional Arabic" w:eastAsia="Calibri" w:hAnsi="Traditional Arabic" w:cs="Traditional Arabic"/>
          <w:sz w:val="28"/>
          <w:szCs w:val="28"/>
          <w:rtl/>
        </w:rPr>
        <w:t xml:space="preserve">، </w:t>
      </w:r>
      <w:proofErr w:type="spellStart"/>
      <w:r w:rsidRPr="00B2256E">
        <w:rPr>
          <w:rFonts w:ascii="Traditional Arabic" w:eastAsia="Calibri" w:hAnsi="Traditional Arabic" w:cs="Traditional Arabic"/>
          <w:sz w:val="28"/>
          <w:szCs w:val="28"/>
          <w:rtl/>
        </w:rPr>
        <w:t>الحوكمة</w:t>
      </w:r>
      <w:proofErr w:type="spellEnd"/>
      <w:r w:rsidRPr="00B2256E">
        <w:rPr>
          <w:rFonts w:ascii="Traditional Arabic" w:eastAsia="Calibri" w:hAnsi="Traditional Arabic" w:cs="Traditional Arabic"/>
          <w:sz w:val="28"/>
          <w:szCs w:val="28"/>
          <w:rtl/>
        </w:rPr>
        <w:t xml:space="preserve"> </w:t>
      </w:r>
      <w:r w:rsidRPr="00B2256E">
        <w:rPr>
          <w:rFonts w:ascii="Traditional Arabic" w:eastAsia="Calibri" w:hAnsi="Traditional Arabic" w:cs="Traditional Arabic" w:hint="cs"/>
          <w:sz w:val="28"/>
          <w:szCs w:val="28"/>
          <w:rtl/>
        </w:rPr>
        <w:t>ا</w:t>
      </w:r>
      <w:r w:rsidRPr="00B2256E">
        <w:rPr>
          <w:rFonts w:ascii="Traditional Arabic" w:eastAsia="Calibri" w:hAnsi="Traditional Arabic" w:cs="Traditional Arabic"/>
          <w:sz w:val="28"/>
          <w:szCs w:val="28"/>
          <w:rtl/>
        </w:rPr>
        <w:t>لجامع</w:t>
      </w:r>
      <w:r w:rsidRPr="00B2256E">
        <w:rPr>
          <w:rFonts w:ascii="Traditional Arabic" w:eastAsia="Calibri" w:hAnsi="Traditional Arabic" w:cs="Traditional Arabic" w:hint="cs"/>
          <w:sz w:val="28"/>
          <w:szCs w:val="28"/>
          <w:rtl/>
        </w:rPr>
        <w:t>ي</w:t>
      </w:r>
      <w:r w:rsidRPr="00B2256E">
        <w:rPr>
          <w:rFonts w:ascii="Traditional Arabic" w:eastAsia="Calibri" w:hAnsi="Traditional Arabic" w:cs="Traditional Arabic"/>
          <w:sz w:val="28"/>
          <w:szCs w:val="28"/>
          <w:rtl/>
        </w:rPr>
        <w:t>ة، التوجهات الاستراتيجية.</w:t>
      </w:r>
    </w:p>
    <w:p w:rsidR="00E47D61" w:rsidRPr="0066137B" w:rsidRDefault="005B540C">
      <w:pPr>
        <w:pStyle w:val="Paragraphedeliste"/>
        <w:numPr>
          <w:ilvl w:val="0"/>
          <w:numId w:val="1"/>
        </w:numPr>
        <w:bidi/>
        <w:jc w:val="both"/>
        <w:rPr>
          <w:rFonts w:ascii="Traditional Arabic" w:eastAsia="Calibri" w:hAnsi="Traditional Arabic" w:cs="Traditional Arabic"/>
          <w:b/>
          <w:bCs/>
          <w:sz w:val="28"/>
          <w:szCs w:val="28"/>
        </w:rPr>
      </w:pPr>
      <w:r w:rsidRPr="0066137B">
        <w:rPr>
          <w:rFonts w:ascii="Traditional Arabic" w:eastAsia="Calibri" w:hAnsi="Traditional Arabic" w:cs="Traditional Arabic" w:hint="cs"/>
          <w:b/>
          <w:bCs/>
          <w:sz w:val="28"/>
          <w:szCs w:val="28"/>
          <w:rtl/>
        </w:rPr>
        <w:t>مقدمة</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 xml:space="preserve">تعد جودة التعليم العالي إحدى الركائز الأساسية لضمان تنافسية مؤسسات التعليم العالي والبحث العلمي في ظل التغيرات المتسارعة التي يشهدها العالم اليوم. وقد أصبح موشوع ضمان الجودة والتحسين المستمر مقياسا رئيسيا لمدى فعالية ونجاعة المؤسسات الجامعية </w:t>
      </w:r>
      <w:r>
        <w:rPr>
          <w:rFonts w:ascii="Traditional Arabic" w:eastAsia="Calibri" w:hAnsi="Traditional Arabic" w:cs="Traditional Arabic" w:hint="cs"/>
          <w:sz w:val="28"/>
          <w:szCs w:val="28"/>
          <w:rtl/>
        </w:rPr>
        <w:lastRenderedPageBreak/>
        <w:t xml:space="preserve">في أداء مهامها التعليمية والبحثية والمجتمعية. ففي السياق الدولي، عملت العديد من الأنظمة الجامعية على تطوير مرجعيات وطنية ودولية تعنى بتقويم الأداء وضمان جودة التكوين والبحث والخدمات الجامعية، مثل المعايير الأوروبية لضمان الجودة </w:t>
      </w:r>
      <w:r>
        <w:rPr>
          <w:rFonts w:ascii="Traditional Arabic" w:eastAsia="Calibri" w:hAnsi="Traditional Arabic" w:cs="Traditional Arabic"/>
          <w:sz w:val="28"/>
          <w:szCs w:val="28"/>
        </w:rPr>
        <w:t>ESG</w:t>
      </w:r>
      <w:r>
        <w:rPr>
          <w:rFonts w:ascii="Traditional Arabic" w:eastAsia="Calibri" w:hAnsi="Traditional Arabic" w:cs="Traditional Arabic" w:hint="cs"/>
          <w:sz w:val="28"/>
          <w:szCs w:val="28"/>
          <w:rtl/>
        </w:rPr>
        <w:t xml:space="preserve"> والمعايير الافريقية </w:t>
      </w:r>
      <w:r>
        <w:rPr>
          <w:rFonts w:ascii="Traditional Arabic" w:eastAsia="Calibri" w:hAnsi="Traditional Arabic" w:cs="Traditional Arabic"/>
          <w:sz w:val="28"/>
          <w:szCs w:val="28"/>
        </w:rPr>
        <w:t>ASG-QA</w:t>
      </w:r>
      <w:r>
        <w:rPr>
          <w:rFonts w:ascii="Traditional Arabic" w:eastAsia="Calibri" w:hAnsi="Traditional Arabic" w:cs="Traditional Arabic" w:hint="cs"/>
          <w:sz w:val="28"/>
          <w:szCs w:val="28"/>
          <w:rtl/>
        </w:rPr>
        <w:t>، التي تشكل مرجعيات أساسية في تقييم واعتماد مؤسسات التعليم العالي.</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خطى قطاع التعليم العالي خطوات مهمة منذ سنة 2014 في مجال ترسيخ ثقافة الجودة من خلال اعتماد المرجع الوطني لضمان الجودة في التعليم العالي (</w:t>
      </w:r>
      <w:r>
        <w:rPr>
          <w:rFonts w:ascii="Traditional Arabic" w:eastAsia="Calibri" w:hAnsi="Traditional Arabic" w:cs="Traditional Arabic"/>
          <w:sz w:val="28"/>
          <w:szCs w:val="28"/>
        </w:rPr>
        <w:t>RNAQES</w:t>
      </w:r>
      <w:r>
        <w:rPr>
          <w:rFonts w:ascii="Traditional Arabic" w:eastAsia="Calibri" w:hAnsi="Traditional Arabic" w:cs="Traditional Arabic" w:hint="cs"/>
          <w:sz w:val="28"/>
          <w:szCs w:val="28"/>
          <w:rtl/>
        </w:rPr>
        <w:t xml:space="preserve">)، الذي مثل الإطار الرسمي لتوجيه الجامعات نحو بناء لأنظمة داخلية للمتابعة والتقويم. ومع تزايد التحديات الوطنية والدولية التي تواجه التعليم العالي، خصوصا فيما يتعلق بالتدويل، </w:t>
      </w:r>
      <w:proofErr w:type="spellStart"/>
      <w:r>
        <w:rPr>
          <w:rFonts w:ascii="Traditional Arabic" w:eastAsia="Calibri" w:hAnsi="Traditional Arabic" w:cs="Traditional Arabic" w:hint="cs"/>
          <w:sz w:val="28"/>
          <w:szCs w:val="28"/>
          <w:rtl/>
        </w:rPr>
        <w:t>الرقمنة</w:t>
      </w:r>
      <w:proofErr w:type="spellEnd"/>
      <w:r>
        <w:rPr>
          <w:rFonts w:ascii="Traditional Arabic" w:eastAsia="Calibri" w:hAnsi="Traditional Arabic" w:cs="Traditional Arabic" w:hint="cs"/>
          <w:sz w:val="28"/>
          <w:szCs w:val="28"/>
          <w:rtl/>
        </w:rPr>
        <w:t xml:space="preserve">، الابتكار، </w:t>
      </w:r>
      <w:proofErr w:type="spellStart"/>
      <w:r>
        <w:rPr>
          <w:rFonts w:ascii="Traditional Arabic" w:eastAsia="Calibri" w:hAnsi="Traditional Arabic" w:cs="Traditional Arabic" w:hint="cs"/>
          <w:sz w:val="28"/>
          <w:szCs w:val="28"/>
          <w:rtl/>
        </w:rPr>
        <w:t>والحوكمة</w:t>
      </w:r>
      <w:proofErr w:type="spellEnd"/>
      <w:r>
        <w:rPr>
          <w:rFonts w:ascii="Traditional Arabic" w:eastAsia="Calibri" w:hAnsi="Traditional Arabic" w:cs="Traditional Arabic" w:hint="cs"/>
          <w:sz w:val="28"/>
          <w:szCs w:val="28"/>
          <w:rtl/>
        </w:rPr>
        <w:t xml:space="preserve"> الرشيدة، تم اعتماد النسخة الجديدة سنة 2023 تحت تسمية المرجع الوطني لضمان الجودة في التعليم العالي والبحث العلمي (</w:t>
      </w:r>
      <w:r>
        <w:rPr>
          <w:rFonts w:ascii="Traditional Arabic" w:eastAsia="Calibri" w:hAnsi="Traditional Arabic" w:cs="Traditional Arabic"/>
          <w:sz w:val="28"/>
          <w:szCs w:val="28"/>
        </w:rPr>
        <w:t>RNAQ-ESRS 2023</w:t>
      </w:r>
      <w:r>
        <w:rPr>
          <w:rFonts w:ascii="Traditional Arabic" w:eastAsia="Calibri" w:hAnsi="Traditional Arabic" w:cs="Traditional Arabic" w:hint="cs"/>
          <w:sz w:val="28"/>
          <w:szCs w:val="28"/>
          <w:rtl/>
        </w:rPr>
        <w:t xml:space="preserve">)، التي جاءت أكثر شمولا واستجابة لهذه التوجهات الاستراتيجية، وقد جاء هذا التحديث ليأخذ بعين الاعتبار التوصيات المستخلصة من عمليات التقييم الداخلي والخارجي للجامعات التي انطلقت منذ 2017، وكذا ليتوافق مع </w:t>
      </w:r>
      <w:r>
        <w:rPr>
          <w:rFonts w:ascii="Traditional Arabic" w:eastAsia="Calibri" w:hAnsi="Traditional Arabic" w:cs="Traditional Arabic"/>
          <w:sz w:val="28"/>
          <w:szCs w:val="28"/>
          <w:rtl/>
        </w:rPr>
        <w:t>بالتوجهات الاستراتيجية الجديدة لقطاع التعليم العالي</w:t>
      </w:r>
      <w:r>
        <w:rPr>
          <w:rFonts w:ascii="Traditional Arabic" w:eastAsia="Calibri" w:hAnsi="Traditional Arabic" w:cs="Traditional Arabic" w:hint="cs"/>
          <w:sz w:val="28"/>
          <w:szCs w:val="28"/>
          <w:rtl/>
        </w:rPr>
        <w:t>، والتطورات والدولية في القطاع.</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بناء على ذلك، تطرح هذه الدراسة الاشكالية التالية:</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كيف يمكن لمؤسسات التعليم العالي الجزائرية تفعيل المرجع الوطني لضمان الجودة في التعليم العالي والبحث العلمي (</w:t>
      </w:r>
      <w:r>
        <w:rPr>
          <w:rFonts w:ascii="Traditional Arabic" w:eastAsia="Calibri" w:hAnsi="Traditional Arabic" w:cs="Traditional Arabic"/>
          <w:sz w:val="28"/>
          <w:szCs w:val="28"/>
        </w:rPr>
        <w:t>RNAQ-ESRS 2023</w:t>
      </w:r>
      <w:r>
        <w:rPr>
          <w:rFonts w:ascii="Traditional Arabic" w:eastAsia="Calibri" w:hAnsi="Traditional Arabic" w:cs="Traditional Arabic" w:hint="cs"/>
          <w:sz w:val="28"/>
          <w:szCs w:val="28"/>
          <w:rtl/>
        </w:rPr>
        <w:t>) بشكل يواكب التوجهات الاستراتيجية الجديدة للقطاع ويضمن تحسين جودة أداءها الأكاديمي والبحثي والمجتمعي؟</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وللإجابة على هذه الإشكالية، تهدف الدراسة إلى:</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تحليل المرجع الوطني لضمان الجودة في التعليم العالي والبحث العلمي (</w:t>
      </w:r>
      <w:r>
        <w:rPr>
          <w:rFonts w:ascii="Traditional Arabic" w:eastAsia="Calibri" w:hAnsi="Traditional Arabic" w:cs="Traditional Arabic"/>
          <w:sz w:val="28"/>
          <w:szCs w:val="28"/>
        </w:rPr>
        <w:t>RNAQ-ESRS 2023</w:t>
      </w:r>
      <w:r>
        <w:rPr>
          <w:rFonts w:ascii="Traditional Arabic" w:eastAsia="Calibri" w:hAnsi="Traditional Arabic" w:cs="Traditional Arabic" w:hint="cs"/>
          <w:sz w:val="28"/>
          <w:szCs w:val="28"/>
          <w:rtl/>
        </w:rPr>
        <w:t>) من حيث محاوره ومؤشراته الأساسية.</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 xml:space="preserve">إبراز العلاقة بين محاور المرجع والتوجهات الاستراتيجية الوطنية (التدويل، الابتكار، </w:t>
      </w:r>
      <w:proofErr w:type="spellStart"/>
      <w:r>
        <w:rPr>
          <w:rFonts w:ascii="Traditional Arabic" w:eastAsia="Calibri" w:hAnsi="Traditional Arabic" w:cs="Traditional Arabic" w:hint="cs"/>
          <w:sz w:val="28"/>
          <w:szCs w:val="28"/>
          <w:rtl/>
        </w:rPr>
        <w:t>الحوكمة</w:t>
      </w:r>
      <w:proofErr w:type="spellEnd"/>
      <w:r>
        <w:rPr>
          <w:rFonts w:ascii="Traditional Arabic" w:eastAsia="Calibri" w:hAnsi="Traditional Arabic" w:cs="Traditional Arabic" w:hint="cs"/>
          <w:sz w:val="28"/>
          <w:szCs w:val="28"/>
          <w:rtl/>
        </w:rPr>
        <w:t>، ...)</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تقديم مقترحات عملية لتعزيز فعالية تطبيق المرجع وتحقيق التحسين المستمر لجودة التعليم العالي.</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تعتمد هذه الدراسة على المنهج الوصفي التحليلي لتحليل محتوى المرجع الوطني، إضافة إلى مراجعة الأدبيات المرتبطة بضمان الجودة في التعليم العالي، كما سيتم توظيف مقاربة تحليلية مقارنة بين محاور المرجع الوطني والتوجهات الاستراتيجية الجديدة لقطاع التعليم العالي. كما تم الاعتماد على بيانات إحصائية رسمية صادرة عم وزارة التعليم العالي والبحث العلمي (2023) والمديرية العامة للبحث العلمي والتطوير التكنولوجي لدعم التحليل بالمعطيات الكمية.</w:t>
      </w:r>
    </w:p>
    <w:p w:rsidR="00432AC2" w:rsidRDefault="00432AC2" w:rsidP="00432AC2">
      <w:pPr>
        <w:bidi/>
        <w:jc w:val="both"/>
        <w:rPr>
          <w:rFonts w:ascii="Traditional Arabic" w:eastAsia="Calibri" w:hAnsi="Traditional Arabic" w:cs="Traditional Arabic"/>
          <w:sz w:val="28"/>
          <w:szCs w:val="28"/>
          <w:rtl/>
        </w:rPr>
      </w:pP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lastRenderedPageBreak/>
        <w:t xml:space="preserve">التطور الهيكلي للمرجع الوطني </w:t>
      </w:r>
      <w:r>
        <w:rPr>
          <w:rFonts w:ascii="Traditional Arabic" w:eastAsia="Calibri" w:hAnsi="Traditional Arabic" w:cs="Traditional Arabic"/>
          <w:b/>
          <w:bCs/>
          <w:sz w:val="28"/>
          <w:szCs w:val="28"/>
        </w:rPr>
        <w:t>RNAQ-ESRS 2023</w:t>
      </w:r>
    </w:p>
    <w:p w:rsidR="00E47D61" w:rsidRDefault="005B540C">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يمثل المرجع الوطني</w:t>
      </w:r>
      <w:r>
        <w:rPr>
          <w:rFonts w:ascii="Traditional Arabic" w:eastAsia="Calibri" w:hAnsi="Traditional Arabic" w:cs="Traditional Arabic" w:hint="cs"/>
          <w:b/>
          <w:sz w:val="28"/>
          <w:szCs w:val="28"/>
          <w:rtl/>
        </w:rPr>
        <w:t xml:space="preserve"> (</w:t>
      </w:r>
      <w:r>
        <w:rPr>
          <w:rFonts w:ascii="Traditional Arabic" w:eastAsia="Calibri" w:hAnsi="Traditional Arabic" w:cs="Traditional Arabic"/>
          <w:bCs/>
          <w:sz w:val="28"/>
          <w:szCs w:val="28"/>
        </w:rPr>
        <w:t>RNAQ</w:t>
      </w:r>
      <w:r>
        <w:rPr>
          <w:rFonts w:ascii="Traditional Arabic" w:eastAsia="Calibri" w:hAnsi="Traditional Arabic" w:cs="Traditional Arabic"/>
          <w:sz w:val="28"/>
          <w:szCs w:val="28"/>
        </w:rPr>
        <w:t>-ESRS 2023</w:t>
      </w:r>
      <w:r>
        <w:rPr>
          <w:rFonts w:ascii="Traditional Arabic" w:eastAsia="Calibri" w:hAnsi="Traditional Arabic" w:cs="Traditional Arabic" w:hint="cs"/>
          <w:sz w:val="28"/>
          <w:szCs w:val="28"/>
          <w:rtl/>
        </w:rPr>
        <w:t>) أداة ديناميكية لتقويم وتحسين أداء مؤسسات التعليم العالي والبحث العلمي. إذ أعيدت هيكلته ليشمل ثمانية مجالات رئيسية بعد أن طانت سبعة في نسخة 2016، وقد جاء هذا التحديث ليأخذ بعين الاعتبار التوصيات المستخلصة من عمليات التقييم الداخلي والخارجي للجامعات التي انطلقت منذ 2017، وكذا ليتوافق مع التطورات الوطنية والدولية في القطاع. كما تميز المرجع الجديد بما</w:t>
      </w:r>
      <w:r w:rsidR="00432AC2">
        <w:rPr>
          <w:rFonts w:ascii="Traditional Arabic" w:eastAsia="Calibri" w:hAnsi="Traditional Arabic" w:cs="Traditional Arabic" w:hint="cs"/>
          <w:sz w:val="28"/>
          <w:szCs w:val="28"/>
          <w:rtl/>
        </w:rPr>
        <w:t xml:space="preserve"> </w:t>
      </w:r>
      <w:r>
        <w:rPr>
          <w:rFonts w:ascii="Traditional Arabic" w:eastAsia="Calibri" w:hAnsi="Traditional Arabic" w:cs="Traditional Arabic" w:hint="cs"/>
          <w:sz w:val="28"/>
          <w:szCs w:val="28"/>
          <w:rtl/>
        </w:rPr>
        <w:t>يلي:</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التركيز على السياسات المؤسسية طويلة المدى باعتبارها الأساس لأي نظام جودة.</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تقليص عدد المراجع إلى 102 مرجع بدل</w:t>
      </w:r>
      <w:r w:rsidR="00F15F12">
        <w:rPr>
          <w:rFonts w:ascii="Traditional Arabic" w:eastAsia="Calibri" w:hAnsi="Traditional Arabic" w:cs="Traditional Arabic" w:hint="cs"/>
          <w:sz w:val="28"/>
          <w:szCs w:val="28"/>
          <w:rtl/>
        </w:rPr>
        <w:t>ا من 123 في النسخة السابقة لتفاد</w:t>
      </w:r>
      <w:r>
        <w:rPr>
          <w:rFonts w:ascii="Traditional Arabic" w:eastAsia="Calibri" w:hAnsi="Traditional Arabic" w:cs="Traditional Arabic" w:hint="cs"/>
          <w:sz w:val="28"/>
          <w:szCs w:val="28"/>
          <w:rtl/>
        </w:rPr>
        <w:t>ي التكرار.</w:t>
      </w:r>
    </w:p>
    <w:p w:rsidR="00E47D61" w:rsidRDefault="005B540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تعزيز المؤشرات المتعلقة بالتدويل، دعم الابتكار، وإنشاء الحاضنات والمؤسسات الناشئة.</w:t>
      </w:r>
    </w:p>
    <w:p w:rsidR="00E47D61" w:rsidRDefault="005B540C">
      <w:pPr>
        <w:pStyle w:val="Paragraphedeliste"/>
        <w:numPr>
          <w:ilvl w:val="0"/>
          <w:numId w:val="2"/>
        </w:num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 xml:space="preserve">إدماج معايير المسؤولية المجتمعية والتنمية المستدامة ضمن إطار الجودة. </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وضعية التعليم العالي في الجزائر بالأرقام</w:t>
      </w:r>
    </w:p>
    <w:p w:rsidR="008F403C" w:rsidRPr="008F403C" w:rsidRDefault="008F403C" w:rsidP="008F403C">
      <w:pPr>
        <w:bidi/>
        <w:jc w:val="both"/>
        <w:rPr>
          <w:rFonts w:ascii="Traditional Arabic" w:eastAsia="Calibri" w:hAnsi="Traditional Arabic" w:cs="Traditional Arabic"/>
          <w:sz w:val="28"/>
          <w:szCs w:val="28"/>
          <w:rtl/>
        </w:rPr>
      </w:pPr>
      <w:r w:rsidRPr="008F403C">
        <w:rPr>
          <w:rFonts w:ascii="Traditional Arabic" w:eastAsia="Calibri" w:hAnsi="Traditional Arabic" w:cs="Traditional Arabic"/>
          <w:sz w:val="28"/>
          <w:szCs w:val="28"/>
          <w:rtl/>
        </w:rPr>
        <w:t>تسعى الجزائر إلى تعزيز التعليم العالي من خلال جودة الجامعات وتشجيع البحث العلمي حيث تم تبني نظام  ل م د الذي يهدف إلى تحسين نوعية التعليم العالي وتسهيل انتقال الطلاب بين مؤسسات التعليم العالي</w:t>
      </w:r>
      <w:r w:rsidRPr="008F403C">
        <w:rPr>
          <w:rFonts w:ascii="Traditional Arabic" w:eastAsia="Calibri" w:hAnsi="Traditional Arabic" w:cs="Traditional Arabic" w:hint="cs"/>
          <w:sz w:val="28"/>
          <w:szCs w:val="28"/>
          <w:rtl/>
        </w:rPr>
        <w:t>، و</w:t>
      </w:r>
      <w:r w:rsidRPr="008F403C">
        <w:rPr>
          <w:rFonts w:ascii="Traditional Arabic" w:eastAsia="Calibri" w:hAnsi="Traditional Arabic" w:cs="Traditional Arabic"/>
          <w:sz w:val="28"/>
          <w:szCs w:val="28"/>
          <w:rtl/>
        </w:rPr>
        <w:t>تنعكس الأهمية التي ت</w:t>
      </w:r>
      <w:r w:rsidRPr="008F403C">
        <w:rPr>
          <w:rFonts w:ascii="Traditional Arabic" w:eastAsia="Calibri" w:hAnsi="Traditional Arabic" w:cs="Traditional Arabic" w:hint="cs"/>
          <w:sz w:val="28"/>
          <w:szCs w:val="28"/>
          <w:rtl/>
        </w:rPr>
        <w:t>و</w:t>
      </w:r>
      <w:r w:rsidRPr="008F403C">
        <w:rPr>
          <w:rFonts w:ascii="Traditional Arabic" w:eastAsia="Calibri" w:hAnsi="Traditional Arabic" w:cs="Traditional Arabic"/>
          <w:sz w:val="28"/>
          <w:szCs w:val="28"/>
          <w:rtl/>
        </w:rPr>
        <w:t>ليها الدولة للتعليم العالي من خلال تنوع مؤسسات الشبكة الجامعية والتي بلغ عددها سنة 2022/2023 190 مؤسسة منها 115 تابعة مبا</w:t>
      </w:r>
      <w:r w:rsidRPr="008F403C">
        <w:rPr>
          <w:rFonts w:ascii="Traditional Arabic" w:eastAsia="Calibri" w:hAnsi="Traditional Arabic" w:cs="Traditional Arabic" w:hint="cs"/>
          <w:sz w:val="28"/>
          <w:szCs w:val="28"/>
          <w:rtl/>
        </w:rPr>
        <w:t>ش</w:t>
      </w:r>
      <w:r w:rsidRPr="008F403C">
        <w:rPr>
          <w:rFonts w:ascii="Traditional Arabic" w:eastAsia="Calibri" w:hAnsi="Traditional Arabic" w:cs="Traditional Arabic"/>
          <w:sz w:val="28"/>
          <w:szCs w:val="28"/>
          <w:rtl/>
        </w:rPr>
        <w:t>رة لوزارة التعليم العالي والبحث العلمي موزعة بين 54 جامعة و9 مراكز جامعية، و39 مدرسة عليا وطنية، و13 مدرسة لتكوين الأساتذة، بالإضافة إلى 75 مؤسسة تحت الوصاية البيداغوجية للوزارة.</w:t>
      </w:r>
    </w:p>
    <w:p w:rsidR="00E47D61" w:rsidRPr="008F403C" w:rsidRDefault="005B540C" w:rsidP="008F403C">
      <w:pPr>
        <w:bidi/>
        <w:jc w:val="both"/>
        <w:rPr>
          <w:rFonts w:ascii="Traditional Arabic" w:eastAsia="Calibri" w:hAnsi="Traditional Arabic" w:cs="Traditional Arabic"/>
          <w:sz w:val="28"/>
          <w:szCs w:val="28"/>
          <w:rtl/>
        </w:rPr>
      </w:pPr>
      <w:r w:rsidRPr="008F403C">
        <w:rPr>
          <w:rFonts w:ascii="Traditional Arabic" w:eastAsia="Calibri" w:hAnsi="Traditional Arabic" w:cs="Traditional Arabic" w:hint="cs"/>
          <w:sz w:val="28"/>
          <w:szCs w:val="28"/>
          <w:rtl/>
        </w:rPr>
        <w:t>وقد شهدت توسعا ملح</w:t>
      </w:r>
      <w:r w:rsidR="008F403C" w:rsidRPr="008F403C">
        <w:rPr>
          <w:rFonts w:ascii="Traditional Arabic" w:eastAsia="Calibri" w:hAnsi="Traditional Arabic" w:cs="Traditional Arabic" w:hint="cs"/>
          <w:sz w:val="28"/>
          <w:szCs w:val="28"/>
          <w:rtl/>
        </w:rPr>
        <w:t xml:space="preserve">وظا خلال السنوات العشر الأخيرة </w:t>
      </w:r>
      <w:r w:rsidRPr="008F403C">
        <w:rPr>
          <w:rFonts w:ascii="Traditional Arabic" w:eastAsia="Calibri" w:hAnsi="Traditional Arabic" w:cs="Traditional Arabic" w:hint="cs"/>
          <w:sz w:val="28"/>
          <w:szCs w:val="28"/>
          <w:rtl/>
        </w:rPr>
        <w:t xml:space="preserve">من حيث </w:t>
      </w:r>
      <w:r w:rsidR="008F403C" w:rsidRPr="008F403C">
        <w:rPr>
          <w:rFonts w:ascii="Traditional Arabic" w:eastAsia="Calibri" w:hAnsi="Traditional Arabic" w:cs="Traditional Arabic" w:hint="cs"/>
          <w:sz w:val="28"/>
          <w:szCs w:val="28"/>
          <w:rtl/>
        </w:rPr>
        <w:t>ت</w:t>
      </w:r>
      <w:r w:rsidR="008F403C" w:rsidRPr="008F403C">
        <w:rPr>
          <w:rFonts w:ascii="Traditional Arabic" w:eastAsia="Calibri" w:hAnsi="Traditional Arabic" w:cs="Traditional Arabic"/>
          <w:sz w:val="28"/>
          <w:szCs w:val="28"/>
          <w:rtl/>
        </w:rPr>
        <w:t>ضاعف</w:t>
      </w:r>
      <w:r w:rsidR="008F403C" w:rsidRPr="008F403C">
        <w:rPr>
          <w:rFonts w:ascii="Traditional Arabic" w:eastAsia="Calibri" w:hAnsi="Traditional Arabic" w:cs="Traditional Arabic" w:hint="cs"/>
          <w:sz w:val="28"/>
          <w:szCs w:val="28"/>
          <w:rtl/>
        </w:rPr>
        <w:t xml:space="preserve"> </w:t>
      </w:r>
      <w:r w:rsidRPr="008F403C">
        <w:rPr>
          <w:rFonts w:ascii="Traditional Arabic" w:eastAsia="Calibri" w:hAnsi="Traditional Arabic" w:cs="Traditional Arabic" w:hint="cs"/>
          <w:sz w:val="28"/>
          <w:szCs w:val="28"/>
          <w:rtl/>
        </w:rPr>
        <w:t xml:space="preserve">عدد الطلبة المسجلين </w:t>
      </w:r>
      <w:r w:rsidR="008F403C" w:rsidRPr="008F403C">
        <w:rPr>
          <w:rFonts w:ascii="Traditional Arabic" w:eastAsia="Calibri" w:hAnsi="Traditional Arabic" w:cs="Traditional Arabic"/>
          <w:sz w:val="28"/>
          <w:szCs w:val="28"/>
          <w:rtl/>
        </w:rPr>
        <w:t xml:space="preserve">بما يفوق ثلاث مرات مقارنة بسنة 2000 حيث </w:t>
      </w:r>
      <w:r w:rsidR="008F403C" w:rsidRPr="008F403C">
        <w:rPr>
          <w:rFonts w:ascii="Traditional Arabic" w:eastAsia="Calibri" w:hAnsi="Traditional Arabic" w:cs="Traditional Arabic" w:hint="cs"/>
          <w:sz w:val="28"/>
          <w:szCs w:val="28"/>
          <w:rtl/>
        </w:rPr>
        <w:t>أصبح</w:t>
      </w:r>
      <w:r w:rsidR="008F403C" w:rsidRPr="008F403C">
        <w:rPr>
          <w:rFonts w:ascii="Traditional Arabic" w:eastAsia="Calibri" w:hAnsi="Traditional Arabic" w:cs="Traditional Arabic"/>
          <w:sz w:val="28"/>
          <w:szCs w:val="28"/>
          <w:rtl/>
        </w:rPr>
        <w:t xml:space="preserve"> </w:t>
      </w:r>
      <w:proofErr w:type="gramStart"/>
      <w:r w:rsidR="008F403C" w:rsidRPr="008F403C">
        <w:rPr>
          <w:rFonts w:ascii="Traditional Arabic" w:eastAsia="Calibri" w:hAnsi="Traditional Arabic" w:cs="Traditional Arabic"/>
          <w:sz w:val="28"/>
          <w:szCs w:val="28"/>
          <w:rtl/>
        </w:rPr>
        <w:t xml:space="preserve">يبلغ  </w:t>
      </w:r>
      <w:r w:rsidRPr="008F403C">
        <w:rPr>
          <w:rFonts w:ascii="Traditional Arabic" w:eastAsia="Calibri" w:hAnsi="Traditional Arabic" w:cs="Traditional Arabic" w:hint="cs"/>
          <w:sz w:val="28"/>
          <w:szCs w:val="28"/>
          <w:rtl/>
        </w:rPr>
        <w:t>ما</w:t>
      </w:r>
      <w:proofErr w:type="gramEnd"/>
      <w:r w:rsidRPr="008F403C">
        <w:rPr>
          <w:rFonts w:ascii="Traditional Arabic" w:eastAsia="Calibri" w:hAnsi="Traditional Arabic" w:cs="Traditional Arabic" w:hint="cs"/>
          <w:sz w:val="28"/>
          <w:szCs w:val="28"/>
          <w:rtl/>
        </w:rPr>
        <w:t xml:space="preserve"> يقارب 1.7 مليون طالب في الموسم الجامعي 2022/2023، </w:t>
      </w:r>
      <w:r w:rsidR="008F403C" w:rsidRPr="008F403C">
        <w:rPr>
          <w:rFonts w:ascii="Traditional Arabic" w:eastAsia="Calibri" w:hAnsi="Traditional Arabic" w:cs="Traditional Arabic"/>
          <w:sz w:val="28"/>
          <w:szCs w:val="28"/>
          <w:rtl/>
        </w:rPr>
        <w:t>أما من حيث التأطير فقد بلغ إجمالي الأساتذة بجميع الرتب 69916 أستاذ خلال السنة الجامعية 2023/2024 ما يفوق 50 بالمئة منهم من مصف الأستاذية</w:t>
      </w:r>
      <w:r w:rsidR="008F403C" w:rsidRPr="008F403C">
        <w:rPr>
          <w:rFonts w:ascii="Traditional Arabic" w:eastAsia="Calibri" w:hAnsi="Traditional Arabic" w:cs="Traditional Arabic" w:hint="cs"/>
          <w:sz w:val="28"/>
          <w:szCs w:val="28"/>
          <w:rtl/>
        </w:rPr>
        <w:t xml:space="preserve">، </w:t>
      </w:r>
      <w:r w:rsidRPr="008F403C">
        <w:rPr>
          <w:rFonts w:ascii="Traditional Arabic" w:eastAsia="Calibri" w:hAnsi="Traditional Arabic" w:cs="Traditional Arabic" w:hint="cs"/>
          <w:sz w:val="28"/>
          <w:szCs w:val="28"/>
          <w:rtl/>
        </w:rPr>
        <w:t xml:space="preserve">بمعدل تأطير يقارب أستاذ لكل 26 طالب. أما على مستوى البحث العلمي فتضم الجامعات الجزائرية أكثر من 1400 مخبر بحث معتمد. </w:t>
      </w:r>
    </w:p>
    <w:p w:rsidR="00432AC2" w:rsidRDefault="00432AC2" w:rsidP="008F403C">
      <w:pPr>
        <w:bidi/>
        <w:jc w:val="center"/>
        <w:rPr>
          <w:rFonts w:ascii="Traditional Arabic" w:eastAsia="Calibri" w:hAnsi="Traditional Arabic" w:cs="Traditional Arabic"/>
          <w:b/>
          <w:bCs/>
          <w:rtl/>
        </w:rPr>
      </w:pPr>
    </w:p>
    <w:p w:rsidR="00432AC2" w:rsidRDefault="00432AC2" w:rsidP="005A703B">
      <w:pPr>
        <w:bidi/>
        <w:rPr>
          <w:rFonts w:ascii="Traditional Arabic" w:eastAsia="Calibri" w:hAnsi="Traditional Arabic" w:cs="Traditional Arabic"/>
          <w:b/>
          <w:bCs/>
          <w:rtl/>
        </w:rPr>
      </w:pPr>
    </w:p>
    <w:p w:rsidR="005A703B" w:rsidRDefault="005A703B" w:rsidP="005A703B">
      <w:pPr>
        <w:bidi/>
        <w:rPr>
          <w:rFonts w:ascii="Traditional Arabic" w:eastAsia="Calibri" w:hAnsi="Traditional Arabic" w:cs="Traditional Arabic"/>
          <w:b/>
          <w:bCs/>
          <w:rtl/>
        </w:rPr>
      </w:pPr>
    </w:p>
    <w:p w:rsidR="00B2256E" w:rsidRDefault="00B2256E" w:rsidP="00B2256E">
      <w:pPr>
        <w:bidi/>
        <w:rPr>
          <w:rFonts w:ascii="Traditional Arabic" w:eastAsia="Calibri" w:hAnsi="Traditional Arabic" w:cs="Traditional Arabic"/>
          <w:b/>
          <w:bCs/>
          <w:rtl/>
        </w:rPr>
      </w:pPr>
    </w:p>
    <w:p w:rsidR="00F15F12" w:rsidRDefault="00DE7B10" w:rsidP="00432AC2">
      <w:pPr>
        <w:bidi/>
        <w:jc w:val="center"/>
        <w:rPr>
          <w:rFonts w:ascii="Traditional Arabic" w:eastAsia="Calibri" w:hAnsi="Traditional Arabic" w:cs="Traditional Arabic"/>
          <w:rtl/>
        </w:rPr>
      </w:pPr>
      <w:r>
        <w:rPr>
          <w:rFonts w:ascii="Traditional Arabic" w:eastAsia="Calibri" w:hAnsi="Traditional Arabic" w:cs="Traditional Arabic" w:hint="cs"/>
          <w:b/>
          <w:bCs/>
          <w:rtl/>
        </w:rPr>
        <w:lastRenderedPageBreak/>
        <w:t>ال</w:t>
      </w:r>
      <w:r w:rsidR="00F15F12">
        <w:rPr>
          <w:rFonts w:ascii="Traditional Arabic" w:eastAsia="Calibri" w:hAnsi="Traditional Arabic" w:cs="Traditional Arabic"/>
          <w:b/>
          <w:bCs/>
          <w:rtl/>
        </w:rPr>
        <w:t>شكل (</w:t>
      </w:r>
      <w:r>
        <w:rPr>
          <w:rFonts w:ascii="Traditional Arabic" w:eastAsia="Calibri" w:hAnsi="Traditional Arabic" w:cs="Traditional Arabic" w:hint="cs"/>
          <w:b/>
          <w:bCs/>
          <w:rtl/>
        </w:rPr>
        <w:t>01</w:t>
      </w:r>
      <w:r w:rsidR="00F15F12">
        <w:rPr>
          <w:rFonts w:ascii="Traditional Arabic" w:eastAsia="Calibri" w:hAnsi="Traditional Arabic" w:cs="Traditional Arabic"/>
          <w:b/>
          <w:bCs/>
          <w:rtl/>
        </w:rPr>
        <w:t>)</w:t>
      </w:r>
      <w:r w:rsidR="008F403C">
        <w:rPr>
          <w:rFonts w:ascii="Traditional Arabic" w:eastAsia="Calibri" w:hAnsi="Traditional Arabic" w:cs="Traditional Arabic" w:hint="cs"/>
          <w:b/>
          <w:bCs/>
          <w:rtl/>
        </w:rPr>
        <w:t xml:space="preserve"> </w:t>
      </w:r>
      <w:r w:rsidR="00F15F12">
        <w:rPr>
          <w:rFonts w:ascii="Traditional Arabic" w:eastAsia="Calibri" w:hAnsi="Traditional Arabic" w:cs="Traditional Arabic"/>
          <w:b/>
          <w:bCs/>
          <w:rtl/>
        </w:rPr>
        <w:t>تطور عدد المسجلين في الجامعة</w:t>
      </w:r>
    </w:p>
    <w:p w:rsidR="00F15F12" w:rsidRDefault="00F15F12" w:rsidP="008F403C">
      <w:pPr>
        <w:bidi/>
        <w:jc w:val="center"/>
        <w:rPr>
          <w:rFonts w:ascii="Traditional Arabic" w:eastAsia="Calibri" w:hAnsi="Traditional Arabic" w:cs="Traditional Arabic"/>
          <w:rtl/>
        </w:rPr>
      </w:pPr>
      <w:r>
        <w:rPr>
          <w:noProof/>
        </w:rPr>
        <w:drawing>
          <wp:inline distT="0" distB="0" distL="0" distR="0">
            <wp:extent cx="4580890" cy="2752090"/>
            <wp:effectExtent l="0" t="0" r="0" b="0"/>
            <wp:docPr id="1" name="Image 1" descr="C:\Users\BOUCHO~1\AppData\Local\Temp\ksohtml2274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UCHO~1\AppData\Local\Temp\ksohtml22748\wps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2752090"/>
                    </a:xfrm>
                    <a:prstGeom prst="rect">
                      <a:avLst/>
                    </a:prstGeom>
                    <a:noFill/>
                    <a:ln>
                      <a:noFill/>
                    </a:ln>
                  </pic:spPr>
                </pic:pic>
              </a:graphicData>
            </a:graphic>
          </wp:inline>
        </w:drawing>
      </w:r>
    </w:p>
    <w:p w:rsidR="00F15F12" w:rsidRDefault="00DE7B10" w:rsidP="008F403C">
      <w:p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 xml:space="preserve">المصدر: من إعداد الباحثتين بالاعتماد على احصائيات وزارة التعليم العالي والبحث العالي عبر الرابط: </w:t>
      </w:r>
      <w:hyperlink r:id="rId11" w:history="1">
        <w:r w:rsidRPr="00B1764F">
          <w:rPr>
            <w:rStyle w:val="Lienhypertexte"/>
            <w:rFonts w:ascii="Traditional Arabic" w:eastAsia="Calibri" w:hAnsi="Traditional Arabic" w:cs="Traditional Arabic"/>
            <w:sz w:val="28"/>
            <w:szCs w:val="28"/>
          </w:rPr>
          <w:t>https://www.mesrs.dz/index.php/agregats-ar-2024-2025-2/</w:t>
        </w:r>
      </w:hyperlink>
      <w:r>
        <w:rPr>
          <w:rFonts w:ascii="Traditional Arabic" w:eastAsia="Calibri" w:hAnsi="Traditional Arabic" w:cs="Traditional Arabic" w:hint="cs"/>
          <w:sz w:val="28"/>
          <w:szCs w:val="28"/>
          <w:rtl/>
        </w:rPr>
        <w:t xml:space="preserve"> </w:t>
      </w:r>
      <w:r>
        <w:rPr>
          <w:rFonts w:ascii="Traditional Arabic" w:eastAsia="Calibri" w:hAnsi="Traditional Arabic" w:cs="Traditional Arabic"/>
          <w:sz w:val="28"/>
          <w:szCs w:val="28"/>
        </w:rPr>
        <w:t>consulté le 01/08/2025</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المفاهيم الأساسية</w:t>
      </w:r>
    </w:p>
    <w:p w:rsidR="00E47D61" w:rsidRPr="008F403C" w:rsidRDefault="005B540C">
      <w:pPr>
        <w:bidi/>
        <w:jc w:val="both"/>
        <w:rPr>
          <w:rFonts w:ascii="Traditional Arabic" w:eastAsia="Calibri" w:hAnsi="Traditional Arabic" w:cs="Traditional Arabic"/>
          <w:sz w:val="28"/>
          <w:szCs w:val="28"/>
          <w:rtl/>
        </w:rPr>
      </w:pPr>
      <w:r w:rsidRPr="008F403C">
        <w:rPr>
          <w:rFonts w:ascii="Traditional Arabic" w:eastAsia="Calibri" w:hAnsi="Traditional Arabic" w:cs="Traditional Arabic" w:hint="cs"/>
          <w:sz w:val="28"/>
          <w:szCs w:val="28"/>
          <w:rtl/>
        </w:rPr>
        <w:t xml:space="preserve">يعد الإطار </w:t>
      </w:r>
      <w:proofErr w:type="spellStart"/>
      <w:r w:rsidRPr="008F403C">
        <w:rPr>
          <w:rFonts w:ascii="Traditional Arabic" w:eastAsia="Calibri" w:hAnsi="Traditional Arabic" w:cs="Traditional Arabic" w:hint="cs"/>
          <w:sz w:val="28"/>
          <w:szCs w:val="28"/>
          <w:rtl/>
        </w:rPr>
        <w:t>المفاهيمي</w:t>
      </w:r>
      <w:proofErr w:type="spellEnd"/>
      <w:r w:rsidRPr="008F403C">
        <w:rPr>
          <w:rFonts w:ascii="Traditional Arabic" w:eastAsia="Calibri" w:hAnsi="Traditional Arabic" w:cs="Traditional Arabic" w:hint="cs"/>
          <w:sz w:val="28"/>
          <w:szCs w:val="28"/>
          <w:rtl/>
        </w:rPr>
        <w:t xml:space="preserve"> أساس نظريا لتوضيح المفاهيم الرئيسية ذات الصلة بموضوع ضمان الجودة في التعليم العالي.</w:t>
      </w:r>
    </w:p>
    <w:p w:rsidR="00E47D61" w:rsidRDefault="005B540C">
      <w:pPr>
        <w:pStyle w:val="Paragraphedeliste"/>
        <w:numPr>
          <w:ilvl w:val="2"/>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ضمان الجودة</w:t>
      </w:r>
      <w:r w:rsidR="00CD14B5">
        <w:rPr>
          <w:rFonts w:ascii="Traditional Arabic" w:eastAsia="Calibri" w:hAnsi="Traditional Arabic" w:cs="Traditional Arabic" w:hint="cs"/>
          <w:b/>
          <w:bCs/>
          <w:sz w:val="28"/>
          <w:szCs w:val="28"/>
          <w:rtl/>
        </w:rPr>
        <w:t xml:space="preserve"> (</w:t>
      </w:r>
      <w:r w:rsidR="00CD14B5">
        <w:rPr>
          <w:rFonts w:ascii="Traditional Arabic" w:eastAsia="Calibri" w:hAnsi="Traditional Arabic" w:cs="Traditional Arabic"/>
          <w:b/>
          <w:bCs/>
          <w:sz w:val="28"/>
          <w:szCs w:val="28"/>
        </w:rPr>
        <w:t>Assurance Qualité</w:t>
      </w:r>
      <w:r w:rsidR="00CD14B5">
        <w:rPr>
          <w:rFonts w:ascii="Traditional Arabic" w:eastAsia="Calibri" w:hAnsi="Traditional Arabic" w:cs="Traditional Arabic" w:hint="cs"/>
          <w:b/>
          <w:bCs/>
          <w:sz w:val="28"/>
          <w:szCs w:val="28"/>
          <w:rtl/>
        </w:rPr>
        <w:t>)</w:t>
      </w:r>
    </w:p>
    <w:p w:rsidR="00EB0288" w:rsidRPr="00EB0288" w:rsidRDefault="00EB0288" w:rsidP="00EB0288">
      <w:pPr>
        <w:bidi/>
        <w:jc w:val="both"/>
        <w:rPr>
          <w:rFonts w:ascii="Traditional Arabic" w:eastAsia="Calibri" w:hAnsi="Traditional Arabic" w:cs="Traditional Arabic"/>
          <w:sz w:val="28"/>
          <w:szCs w:val="28"/>
          <w:rtl/>
        </w:rPr>
      </w:pPr>
      <w:r w:rsidRPr="00EB0288">
        <w:rPr>
          <w:rFonts w:ascii="Traditional Arabic" w:eastAsia="Calibri" w:hAnsi="Traditional Arabic" w:cs="Traditional Arabic"/>
          <w:sz w:val="28"/>
          <w:szCs w:val="28"/>
          <w:rtl/>
        </w:rPr>
        <w:t>يُعرف ضمان الجودة في مؤسسات التعليم العالي بأنه مجموعة الإجراءات المنهجية التي تضمن أن البرامج التعليمية والأنشطة الأكاديمية تتوافق مع المعايير المتفق عليها وتخضع لتحسين مستمر. يُركز على تلبية المتطلبات بطريقة تضمن للمؤسسة القدرة على رفع مستوى الأداء وتأمين الثقة لدى الأطراف</w:t>
      </w:r>
      <w:r>
        <w:rPr>
          <w:rFonts w:ascii="Traditional Arabic" w:eastAsia="Calibri" w:hAnsi="Traditional Arabic" w:cs="Traditional Arabic" w:hint="cs"/>
          <w:sz w:val="28"/>
          <w:szCs w:val="28"/>
          <w:rtl/>
        </w:rPr>
        <w:t>.</w:t>
      </w:r>
      <w:r>
        <w:rPr>
          <w:rStyle w:val="Appelnotedebasdep"/>
          <w:rFonts w:ascii="Traditional Arabic" w:eastAsia="Calibri" w:hAnsi="Traditional Arabic" w:cs="Traditional Arabic"/>
          <w:sz w:val="28"/>
          <w:szCs w:val="28"/>
          <w:rtl/>
        </w:rPr>
        <w:footnoteReference w:id="1"/>
      </w:r>
    </w:p>
    <w:p w:rsidR="00E47D61" w:rsidRDefault="00EB0288" w:rsidP="00EB0288">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lastRenderedPageBreak/>
        <w:t>و</w:t>
      </w:r>
      <w:r w:rsidR="00EC2C4E">
        <w:rPr>
          <w:rFonts w:ascii="Traditional Arabic" w:eastAsia="Calibri" w:hAnsi="Traditional Arabic" w:cs="Traditional Arabic" w:hint="cs"/>
          <w:sz w:val="28"/>
          <w:szCs w:val="28"/>
          <w:rtl/>
        </w:rPr>
        <w:t>يعرف</w:t>
      </w:r>
      <w:r>
        <w:rPr>
          <w:rFonts w:ascii="Traditional Arabic" w:eastAsia="Calibri" w:hAnsi="Traditional Arabic" w:cs="Traditional Arabic" w:hint="cs"/>
          <w:sz w:val="28"/>
          <w:szCs w:val="28"/>
          <w:rtl/>
        </w:rPr>
        <w:t>ه</w:t>
      </w:r>
      <w:r w:rsidR="00EC2C4E">
        <w:rPr>
          <w:rFonts w:ascii="Traditional Arabic" w:eastAsia="Calibri" w:hAnsi="Traditional Arabic" w:cs="Traditional Arabic" w:hint="cs"/>
          <w:sz w:val="28"/>
          <w:szCs w:val="28"/>
          <w:rtl/>
        </w:rPr>
        <w:t xml:space="preserve"> المرجع الوطني </w:t>
      </w:r>
      <w:r w:rsidR="005B540C">
        <w:rPr>
          <w:rFonts w:ascii="Traditional Arabic" w:eastAsia="Calibri" w:hAnsi="Traditional Arabic" w:cs="Traditional Arabic" w:hint="cs"/>
          <w:sz w:val="28"/>
          <w:szCs w:val="28"/>
          <w:rtl/>
        </w:rPr>
        <w:t>(</w:t>
      </w:r>
      <w:r w:rsidR="005B540C">
        <w:rPr>
          <w:rFonts w:ascii="Traditional Arabic" w:eastAsia="Calibri" w:hAnsi="Traditional Arabic" w:cs="Traditional Arabic"/>
          <w:sz w:val="28"/>
          <w:szCs w:val="28"/>
        </w:rPr>
        <w:t>RNAQ-ESRS 2023</w:t>
      </w:r>
      <w:r w:rsidR="005B540C">
        <w:rPr>
          <w:rFonts w:ascii="Traditional Arabic" w:eastAsia="Calibri" w:hAnsi="Traditional Arabic" w:cs="Traditional Arabic" w:hint="cs"/>
          <w:sz w:val="28"/>
          <w:szCs w:val="28"/>
          <w:rtl/>
        </w:rPr>
        <w:t>) على أنه:</w:t>
      </w:r>
      <w:r w:rsidR="00CD14B5">
        <w:rPr>
          <w:rFonts w:ascii="Traditional Arabic" w:eastAsia="Calibri" w:hAnsi="Traditional Arabic" w:cs="Traditional Arabic"/>
          <w:sz w:val="28"/>
          <w:szCs w:val="28"/>
        </w:rPr>
        <w:t xml:space="preserve"> </w:t>
      </w:r>
      <w:r w:rsidR="005B540C">
        <w:rPr>
          <w:rFonts w:ascii="Traditional Arabic" w:eastAsia="Calibri" w:hAnsi="Traditional Arabic" w:cs="Traditional Arabic" w:hint="cs"/>
          <w:sz w:val="28"/>
          <w:szCs w:val="28"/>
          <w:rtl/>
        </w:rPr>
        <w:t>"جزء من إدارة الجودة يهدف إلى إعطاء الثقة من خلال مطابقة متطلبات الجودة"</w:t>
      </w:r>
      <w:r w:rsidR="001064B9">
        <w:rPr>
          <w:rStyle w:val="Appelnotedebasdep"/>
          <w:rFonts w:ascii="Traditional Arabic" w:eastAsia="Calibri" w:hAnsi="Traditional Arabic" w:cs="Traditional Arabic"/>
          <w:sz w:val="28"/>
          <w:szCs w:val="28"/>
          <w:rtl/>
        </w:rPr>
        <w:footnoteReference w:id="2"/>
      </w:r>
      <w:r w:rsidR="005B540C">
        <w:rPr>
          <w:rFonts w:ascii="Traditional Arabic" w:eastAsia="Calibri" w:hAnsi="Traditional Arabic" w:cs="Traditional Arabic" w:hint="cs"/>
          <w:sz w:val="28"/>
          <w:szCs w:val="28"/>
          <w:rtl/>
        </w:rPr>
        <w:t>. ويعني ذلك أن المؤسسة الجامعية مطالبة بوضع آليات وإجراءات تضمن أن جميع أنشطتها الأكاديمية والإدارية تحقق معايير الجودة الوطنية والدولية.</w:t>
      </w:r>
    </w:p>
    <w:p w:rsidR="00CD14B5" w:rsidRDefault="005B540C" w:rsidP="00887EDA">
      <w:pPr>
        <w:pStyle w:val="Paragraphedeliste"/>
        <w:numPr>
          <w:ilvl w:val="2"/>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التحسين المستمر</w:t>
      </w:r>
      <w:r w:rsidR="00CD14B5">
        <w:rPr>
          <w:rFonts w:ascii="Traditional Arabic" w:eastAsia="Calibri" w:hAnsi="Traditional Arabic" w:cs="Traditional Arabic" w:hint="cs"/>
          <w:b/>
          <w:bCs/>
          <w:sz w:val="28"/>
          <w:szCs w:val="28"/>
          <w:rtl/>
        </w:rPr>
        <w:t xml:space="preserve"> (</w:t>
      </w:r>
      <w:r w:rsidR="00CD14B5">
        <w:rPr>
          <w:rFonts w:ascii="Traditional Arabic" w:eastAsia="Calibri" w:hAnsi="Traditional Arabic" w:cs="Traditional Arabic"/>
          <w:b/>
          <w:bCs/>
          <w:sz w:val="28"/>
          <w:szCs w:val="28"/>
        </w:rPr>
        <w:t>Amélioration continue</w:t>
      </w:r>
      <w:r w:rsidR="00CD14B5">
        <w:rPr>
          <w:rFonts w:ascii="Traditional Arabic" w:eastAsia="Calibri" w:hAnsi="Traditional Arabic" w:cs="Traditional Arabic" w:hint="cs"/>
          <w:b/>
          <w:bCs/>
          <w:sz w:val="28"/>
          <w:szCs w:val="28"/>
          <w:rtl/>
        </w:rPr>
        <w:t>)</w:t>
      </w:r>
    </w:p>
    <w:p w:rsidR="00887EDA" w:rsidRPr="00887EDA" w:rsidRDefault="00887EDA" w:rsidP="00887EDA">
      <w:p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هو نشاط متكرر لتحسين الأداء بشكل عام، ويعد مبدأ محوريا في جميع محاور المرجع الوطني لضمان الارتقاء المستمر بمستوى التكوين والبحث والخدمات الجامعية.</w:t>
      </w:r>
    </w:p>
    <w:p w:rsidR="00CD14B5" w:rsidRDefault="00CD14B5" w:rsidP="00CD14B5">
      <w:pPr>
        <w:pStyle w:val="Paragraphedeliste"/>
        <w:numPr>
          <w:ilvl w:val="2"/>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التقييم الداخلي (</w:t>
      </w:r>
      <w:r>
        <w:rPr>
          <w:rFonts w:ascii="Traditional Arabic" w:eastAsia="Calibri" w:hAnsi="Traditional Arabic" w:cs="Traditional Arabic"/>
          <w:b/>
          <w:bCs/>
          <w:sz w:val="28"/>
          <w:szCs w:val="28"/>
        </w:rPr>
        <w:t>Auto-évaluation</w:t>
      </w:r>
      <w:r>
        <w:rPr>
          <w:rFonts w:ascii="Traditional Arabic" w:eastAsia="Calibri" w:hAnsi="Traditional Arabic" w:cs="Traditional Arabic" w:hint="cs"/>
          <w:b/>
          <w:bCs/>
          <w:sz w:val="28"/>
          <w:szCs w:val="28"/>
          <w:rtl/>
        </w:rPr>
        <w:t>)</w:t>
      </w:r>
    </w:p>
    <w:p w:rsidR="00C51648" w:rsidRDefault="00C51648" w:rsidP="00C51648">
      <w:pPr>
        <w:bidi/>
        <w:jc w:val="both"/>
        <w:rPr>
          <w:rFonts w:ascii="Traditional Arabic" w:eastAsia="Calibri" w:hAnsi="Traditional Arabic" w:cs="Traditional Arabic"/>
          <w:sz w:val="28"/>
          <w:szCs w:val="28"/>
        </w:rPr>
      </w:pPr>
      <w:r>
        <w:rPr>
          <w:rStyle w:val="relative"/>
          <w:rtl/>
        </w:rPr>
        <w:t>يشير التقييم الداخلي إلى عملية تقييم ذاتي تقوم بها المؤسسة بهدف ملاحظة نقاط القوة والضعف ضمن أنشطتها التكوينية والبحثية والإدارية بهدف التعلم والتحسين المستمر</w:t>
      </w:r>
      <w:r>
        <w:rPr>
          <w:rStyle w:val="Appelnotedebasdep"/>
          <w:rtl/>
        </w:rPr>
        <w:footnoteReference w:id="3"/>
      </w:r>
      <w:r w:rsidRPr="00C51648">
        <w:rPr>
          <w:rStyle w:val="grow"/>
          <w:rFonts w:ascii="Traditional Arabic" w:eastAsia="Calibri" w:hAnsi="Traditional Arabic" w:cs="Traditional Arabic" w:hint="cs"/>
          <w:sz w:val="28"/>
          <w:szCs w:val="28"/>
          <w:rtl/>
        </w:rPr>
        <w:t>.</w:t>
      </w:r>
      <w:r>
        <w:rPr>
          <w:rFonts w:ascii="Traditional Arabic" w:eastAsia="Calibri" w:hAnsi="Traditional Arabic" w:cs="Traditional Arabic"/>
          <w:sz w:val="28"/>
          <w:szCs w:val="28"/>
        </w:rPr>
        <w:t> </w:t>
      </w:r>
      <w:proofErr w:type="gramStart"/>
      <w:r>
        <w:rPr>
          <w:rFonts w:ascii="Traditional Arabic" w:eastAsia="Calibri" w:hAnsi="Traditional Arabic" w:cs="Traditional Arabic" w:hint="cs"/>
          <w:sz w:val="28"/>
          <w:szCs w:val="28"/>
          <w:rtl/>
          <w:lang w:bidi="ar-DZ"/>
        </w:rPr>
        <w:t xml:space="preserve">و </w:t>
      </w:r>
      <w:r w:rsidR="00887EDA">
        <w:rPr>
          <w:rFonts w:ascii="Traditional Arabic" w:eastAsia="Calibri" w:hAnsi="Traditional Arabic" w:cs="Traditional Arabic" w:hint="cs"/>
          <w:sz w:val="28"/>
          <w:szCs w:val="28"/>
          <w:rtl/>
        </w:rPr>
        <w:t>هو</w:t>
      </w:r>
      <w:proofErr w:type="gramEnd"/>
      <w:r w:rsidR="00887EDA">
        <w:rPr>
          <w:rFonts w:ascii="Traditional Arabic" w:eastAsia="Calibri" w:hAnsi="Traditional Arabic" w:cs="Traditional Arabic" w:hint="cs"/>
          <w:sz w:val="28"/>
          <w:szCs w:val="28"/>
          <w:rtl/>
        </w:rPr>
        <w:t xml:space="preserve"> عملية تقوم بها المؤسسة الجامعية بشكل ذاتي لمراجعة أداءها وتحديد نقاط القوة والضعف. ويتم ذلك من خلال مقاربة شاملة تشمل جميع الأنشطة التعليمية والبحثية والإدارية.</w:t>
      </w:r>
      <w:r w:rsidR="001D5C22">
        <w:rPr>
          <w:rFonts w:ascii="Traditional Arabic" w:eastAsia="Calibri" w:hAnsi="Traditional Arabic" w:cs="Traditional Arabic" w:hint="cs"/>
          <w:sz w:val="28"/>
          <w:szCs w:val="28"/>
          <w:rtl/>
        </w:rPr>
        <w:t xml:space="preserve"> </w:t>
      </w:r>
    </w:p>
    <w:p w:rsidR="00CD14B5" w:rsidRPr="00C51648" w:rsidRDefault="00CD14B5" w:rsidP="00C51648">
      <w:pPr>
        <w:pStyle w:val="Paragraphedeliste"/>
        <w:numPr>
          <w:ilvl w:val="2"/>
          <w:numId w:val="1"/>
        </w:numPr>
        <w:bidi/>
        <w:jc w:val="both"/>
        <w:rPr>
          <w:rFonts w:ascii="Traditional Arabic" w:eastAsia="Calibri" w:hAnsi="Traditional Arabic" w:cs="Traditional Arabic"/>
          <w:b/>
          <w:bCs/>
          <w:sz w:val="28"/>
          <w:szCs w:val="28"/>
        </w:rPr>
      </w:pPr>
      <w:r w:rsidRPr="00C51648">
        <w:rPr>
          <w:rFonts w:ascii="Traditional Arabic" w:eastAsia="Calibri" w:hAnsi="Traditional Arabic" w:cs="Traditional Arabic" w:hint="cs"/>
          <w:b/>
          <w:bCs/>
          <w:sz w:val="28"/>
          <w:szCs w:val="28"/>
          <w:rtl/>
        </w:rPr>
        <w:t>التقييم لخارجي (</w:t>
      </w:r>
      <w:r w:rsidRPr="00C51648">
        <w:rPr>
          <w:rFonts w:ascii="Traditional Arabic" w:eastAsia="Calibri" w:hAnsi="Traditional Arabic" w:cs="Traditional Arabic"/>
          <w:b/>
          <w:bCs/>
          <w:sz w:val="28"/>
          <w:szCs w:val="28"/>
        </w:rPr>
        <w:t>Evaluation externe</w:t>
      </w:r>
      <w:r w:rsidRPr="00C51648">
        <w:rPr>
          <w:rFonts w:ascii="Traditional Arabic" w:eastAsia="Calibri" w:hAnsi="Traditional Arabic" w:cs="Traditional Arabic" w:hint="cs"/>
          <w:b/>
          <w:bCs/>
          <w:sz w:val="28"/>
          <w:szCs w:val="28"/>
          <w:rtl/>
        </w:rPr>
        <w:t>)</w:t>
      </w:r>
    </w:p>
    <w:p w:rsidR="00C51648" w:rsidRPr="00C51648" w:rsidRDefault="00C51648" w:rsidP="00C51648">
      <w:pPr>
        <w:bidi/>
        <w:jc w:val="both"/>
        <w:rPr>
          <w:rFonts w:ascii="Traditional Arabic" w:eastAsia="Calibri" w:hAnsi="Traditional Arabic" w:cs="Traditional Arabic" w:hint="cs"/>
          <w:sz w:val="28"/>
          <w:szCs w:val="28"/>
          <w:lang w:bidi="ar-DZ"/>
        </w:rPr>
      </w:pPr>
      <w:r w:rsidRPr="00C51648">
        <w:rPr>
          <w:rFonts w:ascii="Traditional Arabic" w:eastAsia="Calibri" w:hAnsi="Traditional Arabic" w:cs="Traditional Arabic"/>
          <w:sz w:val="28"/>
          <w:szCs w:val="28"/>
          <w:rtl/>
        </w:rPr>
        <w:t>يتمثل التقييم الخارجي في مراجعة مستقلة يقوم بها جهة خارجية معتمدة (مثل هيئة اعتماد تعليمية) لتحديد مدى التزام المؤسسة أو البرنامج بالمعايير المعترف بها. عند التوافق، يتم منح الاعتماد الذي يعطي المؤسسة أو البرنامج وثيقة رسمية بالموثوقية</w:t>
      </w:r>
      <w:r w:rsidRPr="00C51648">
        <w:rPr>
          <w:rFonts w:ascii="Traditional Arabic" w:eastAsia="Calibri" w:hAnsi="Traditional Arabic" w:cs="Traditional Arabic" w:hint="cs"/>
          <w:sz w:val="28"/>
          <w:szCs w:val="28"/>
          <w:rtl/>
        </w:rPr>
        <w:t xml:space="preserve"> والكفاءة.</w:t>
      </w:r>
      <w:r>
        <w:rPr>
          <w:rStyle w:val="Appelnotedebasdep"/>
          <w:rFonts w:ascii="Traditional Arabic" w:eastAsia="Calibri" w:hAnsi="Traditional Arabic" w:cs="Traditional Arabic"/>
          <w:sz w:val="28"/>
          <w:szCs w:val="28"/>
          <w:rtl/>
        </w:rPr>
        <w:footnoteReference w:id="4"/>
      </w:r>
    </w:p>
    <w:p w:rsidR="00C51648" w:rsidRDefault="00887EDA" w:rsidP="00C51648">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يعرفه المرجع على أنه تقييم تنفذه جهة مستقلة استنادا إلى تقرير التقييم الداخلي الذي تعده المؤسسة، ويهدف إلى التأكد من مدى استجابة المؤسسة لمعايير الجودة الوطنية.</w:t>
      </w:r>
      <w:r w:rsidR="00117D6B">
        <w:rPr>
          <w:rFonts w:ascii="Traditional Arabic" w:eastAsia="Calibri" w:hAnsi="Traditional Arabic" w:cs="Traditional Arabic"/>
          <w:sz w:val="28"/>
          <w:szCs w:val="28"/>
        </w:rPr>
        <w:t xml:space="preserve"> </w:t>
      </w:r>
      <w:r w:rsidR="00C51648">
        <w:rPr>
          <w:rStyle w:val="Appelnotedebasdep"/>
          <w:rFonts w:ascii="Traditional Arabic" w:eastAsia="Calibri" w:hAnsi="Traditional Arabic" w:cs="Traditional Arabic"/>
          <w:sz w:val="28"/>
          <w:szCs w:val="28"/>
        </w:rPr>
        <w:footnoteReference w:id="5"/>
      </w:r>
    </w:p>
    <w:p w:rsidR="00EE4EEF" w:rsidRDefault="00EE4EEF" w:rsidP="00EE4EEF">
      <w:pPr>
        <w:bidi/>
        <w:jc w:val="both"/>
        <w:rPr>
          <w:rFonts w:ascii="Traditional Arabic" w:eastAsia="Calibri" w:hAnsi="Traditional Arabic" w:cs="Traditional Arabic"/>
          <w:sz w:val="28"/>
          <w:szCs w:val="28"/>
          <w:rtl/>
        </w:rPr>
      </w:pPr>
    </w:p>
    <w:p w:rsidR="00CD14B5" w:rsidRPr="00C51648" w:rsidRDefault="00CD14B5" w:rsidP="00C51648">
      <w:pPr>
        <w:pStyle w:val="Paragraphedeliste"/>
        <w:numPr>
          <w:ilvl w:val="2"/>
          <w:numId w:val="1"/>
        </w:numPr>
        <w:bidi/>
        <w:jc w:val="both"/>
        <w:rPr>
          <w:rFonts w:ascii="Traditional Arabic" w:eastAsia="Calibri" w:hAnsi="Traditional Arabic" w:cs="Traditional Arabic"/>
          <w:b/>
          <w:bCs/>
          <w:sz w:val="28"/>
          <w:szCs w:val="28"/>
        </w:rPr>
      </w:pPr>
      <w:proofErr w:type="spellStart"/>
      <w:r w:rsidRPr="00C51648">
        <w:rPr>
          <w:rFonts w:ascii="Traditional Arabic" w:eastAsia="Calibri" w:hAnsi="Traditional Arabic" w:cs="Traditional Arabic" w:hint="cs"/>
          <w:b/>
          <w:bCs/>
          <w:sz w:val="28"/>
          <w:szCs w:val="28"/>
          <w:rtl/>
        </w:rPr>
        <w:lastRenderedPageBreak/>
        <w:t>الحوكمة</w:t>
      </w:r>
      <w:proofErr w:type="spellEnd"/>
      <w:r w:rsidRPr="00C51648">
        <w:rPr>
          <w:rFonts w:ascii="Traditional Arabic" w:eastAsia="Calibri" w:hAnsi="Traditional Arabic" w:cs="Traditional Arabic" w:hint="cs"/>
          <w:b/>
          <w:bCs/>
          <w:sz w:val="28"/>
          <w:szCs w:val="28"/>
          <w:rtl/>
        </w:rPr>
        <w:t xml:space="preserve"> (</w:t>
      </w:r>
      <w:r w:rsidRPr="00C51648">
        <w:rPr>
          <w:rFonts w:ascii="Traditional Arabic" w:eastAsia="Calibri" w:hAnsi="Traditional Arabic" w:cs="Traditional Arabic"/>
          <w:b/>
          <w:bCs/>
          <w:sz w:val="28"/>
          <w:szCs w:val="28"/>
        </w:rPr>
        <w:t>Gouvernance</w:t>
      </w:r>
      <w:r w:rsidRPr="00C51648">
        <w:rPr>
          <w:rFonts w:ascii="Traditional Arabic" w:eastAsia="Calibri" w:hAnsi="Traditional Arabic" w:cs="Traditional Arabic" w:hint="cs"/>
          <w:b/>
          <w:bCs/>
          <w:sz w:val="28"/>
          <w:szCs w:val="28"/>
          <w:rtl/>
        </w:rPr>
        <w:t>)</w:t>
      </w:r>
    </w:p>
    <w:p w:rsidR="00E47D61" w:rsidRPr="00887EDA" w:rsidRDefault="00887EDA" w:rsidP="00117D6B">
      <w:pPr>
        <w:bidi/>
        <w:jc w:val="both"/>
        <w:rPr>
          <w:rFonts w:ascii="Traditional Arabic" w:eastAsia="Calibri" w:hAnsi="Traditional Arabic" w:cs="Traditional Arabic"/>
          <w:sz w:val="28"/>
          <w:szCs w:val="28"/>
          <w:lang w:bidi="ar-DZ"/>
        </w:rPr>
      </w:pPr>
      <w:r w:rsidRPr="00887EDA">
        <w:rPr>
          <w:rFonts w:ascii="Traditional Arabic" w:eastAsia="Calibri" w:hAnsi="Traditional Arabic" w:cs="Traditional Arabic" w:hint="cs"/>
          <w:sz w:val="28"/>
          <w:szCs w:val="28"/>
          <w:rtl/>
        </w:rPr>
        <w:t xml:space="preserve">هي النظام الذي يتم من خلاله توجيه المؤسسة الجامعية ومساءلتها. وتشمل </w:t>
      </w:r>
      <w:proofErr w:type="spellStart"/>
      <w:r w:rsidRPr="00887EDA">
        <w:rPr>
          <w:rFonts w:ascii="Traditional Arabic" w:eastAsia="Calibri" w:hAnsi="Traditional Arabic" w:cs="Traditional Arabic" w:hint="cs"/>
          <w:sz w:val="28"/>
          <w:szCs w:val="28"/>
          <w:rtl/>
        </w:rPr>
        <w:t>الحوكمة</w:t>
      </w:r>
      <w:proofErr w:type="spellEnd"/>
      <w:r w:rsidRPr="00887EDA">
        <w:rPr>
          <w:rFonts w:ascii="Traditional Arabic" w:eastAsia="Calibri" w:hAnsi="Traditional Arabic" w:cs="Traditional Arabic" w:hint="cs"/>
          <w:sz w:val="28"/>
          <w:szCs w:val="28"/>
          <w:rtl/>
        </w:rPr>
        <w:t xml:space="preserve"> جميع الآليات والقرارات الإدارية والسياسيات الاستراتيجية التي تضمن إدارة فعالة وشفافة.</w:t>
      </w:r>
      <w:r w:rsidR="00117D6B" w:rsidRPr="00117D6B">
        <w:rPr>
          <w:rStyle w:val="Pieddepage"/>
          <w:rtl/>
        </w:rPr>
        <w:t xml:space="preserve"> </w:t>
      </w:r>
      <w:r w:rsidR="00C51648">
        <w:rPr>
          <w:rStyle w:val="Pieddepage"/>
          <w:rFonts w:hint="cs"/>
          <w:rtl/>
        </w:rPr>
        <w:t xml:space="preserve">كما </w:t>
      </w:r>
      <w:r w:rsidR="00117D6B">
        <w:rPr>
          <w:rStyle w:val="relative"/>
          <w:rtl/>
        </w:rPr>
        <w:t xml:space="preserve">تُعرف </w:t>
      </w:r>
      <w:proofErr w:type="spellStart"/>
      <w:r w:rsidR="00117D6B">
        <w:rPr>
          <w:rStyle w:val="relative"/>
          <w:rtl/>
        </w:rPr>
        <w:t>الحوكمة</w:t>
      </w:r>
      <w:proofErr w:type="spellEnd"/>
      <w:r w:rsidR="00117D6B">
        <w:rPr>
          <w:rStyle w:val="relative"/>
          <w:rtl/>
        </w:rPr>
        <w:t xml:space="preserve"> بأنها النظام الشامل للممارسات والهياكل والعمليات التي من خلالها تُدار المؤسّسة ويُتخذ فيها القرار، وضمان الشفافية والمساءلة وتحديد الاتجاه الاستراتيجي</w:t>
      </w:r>
      <w:r w:rsidR="00117D6B">
        <w:rPr>
          <w:rStyle w:val="relative"/>
          <w:rFonts w:hint="cs"/>
          <w:rtl/>
        </w:rPr>
        <w:t xml:space="preserve"> للمؤسسة</w:t>
      </w:r>
      <w:r w:rsidR="00117D6B">
        <w:rPr>
          <w:rStyle w:val="Appelnotedebasdep"/>
          <w:rtl/>
        </w:rPr>
        <w:footnoteReference w:id="6"/>
      </w:r>
      <w:r w:rsidR="00C51648">
        <w:rPr>
          <w:rStyle w:val="relative"/>
          <w:rFonts w:hint="cs"/>
          <w:rtl/>
          <w:lang w:bidi="ar-DZ"/>
        </w:rPr>
        <w:t>.</w:t>
      </w:r>
    </w:p>
    <w:p w:rsidR="00E47D61" w:rsidRDefault="005B540C">
      <w:pPr>
        <w:pStyle w:val="Paragraphedeliste"/>
        <w:numPr>
          <w:ilvl w:val="0"/>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 xml:space="preserve">تحليل محاور المرجع الوطني </w:t>
      </w:r>
      <w:r>
        <w:rPr>
          <w:rFonts w:ascii="Traditional Arabic" w:eastAsia="Calibri" w:hAnsi="Traditional Arabic" w:cs="Traditional Arabic"/>
          <w:b/>
          <w:bCs/>
          <w:sz w:val="28"/>
          <w:szCs w:val="28"/>
        </w:rPr>
        <w:t>RNAQ-ESRS 2023</w:t>
      </w:r>
    </w:p>
    <w:p w:rsidR="008C749B" w:rsidRPr="00887EDA" w:rsidRDefault="00887EDA" w:rsidP="008C749B">
      <w:p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يعد المرجع الوطني لضمان الجودة في التعليم العالي والبحث العلمي (</w:t>
      </w:r>
      <w:r>
        <w:rPr>
          <w:rFonts w:ascii="Traditional Arabic" w:eastAsia="Calibri" w:hAnsi="Traditional Arabic" w:cs="Traditional Arabic"/>
          <w:sz w:val="28"/>
          <w:szCs w:val="28"/>
        </w:rPr>
        <w:t>RNAQ-ESRS 2023</w:t>
      </w:r>
      <w:r>
        <w:rPr>
          <w:rFonts w:ascii="Traditional Arabic" w:eastAsia="Calibri" w:hAnsi="Traditional Arabic" w:cs="Traditional Arabic" w:hint="cs"/>
          <w:sz w:val="28"/>
          <w:szCs w:val="28"/>
          <w:rtl/>
        </w:rPr>
        <w:t xml:space="preserve">) أداة شاملة لتقويم أداء مؤسسات التعليم العالي في الجزائر. إذ أعيدت هيكلته ليشمل ثمانية مجالات رئيسية تغطي جميع الأنشطة الأكاديمية والبحثية والإدارية، مع تحديد 102 مرجعا </w:t>
      </w:r>
      <w:proofErr w:type="gramStart"/>
      <w:r>
        <w:rPr>
          <w:rFonts w:ascii="Traditional Arabic" w:eastAsia="Calibri" w:hAnsi="Traditional Arabic" w:cs="Traditional Arabic" w:hint="cs"/>
          <w:sz w:val="28"/>
          <w:szCs w:val="28"/>
          <w:rtl/>
        </w:rPr>
        <w:t>و 307</w:t>
      </w:r>
      <w:proofErr w:type="gramEnd"/>
      <w:r>
        <w:rPr>
          <w:rFonts w:ascii="Traditional Arabic" w:eastAsia="Calibri" w:hAnsi="Traditional Arabic" w:cs="Traditional Arabic" w:hint="cs"/>
          <w:sz w:val="28"/>
          <w:szCs w:val="28"/>
          <w:rtl/>
        </w:rPr>
        <w:t xml:space="preserve"> معيارا و 1035 دليلا إثباتيا لضمان التطبيق الفعلي للجودة.</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المجالات الثمانية للمرجع الوطني</w:t>
      </w:r>
    </w:p>
    <w:p w:rsidR="008C749B" w:rsidRDefault="008C749B" w:rsidP="008C749B">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يوضح الجدول التالي المجالات الثمانية التي يشملها المرجع وعدد المراجع والمعايير والأدلة الخاصة بكل مجال</w:t>
      </w:r>
      <w:r w:rsidR="00A569EE">
        <w:rPr>
          <w:rFonts w:ascii="Traditional Arabic" w:eastAsia="Calibri" w:hAnsi="Traditional Arabic" w:cs="Traditional Arabic" w:hint="cs"/>
          <w:sz w:val="28"/>
          <w:szCs w:val="28"/>
          <w:rtl/>
        </w:rPr>
        <w:t>.</w:t>
      </w:r>
    </w:p>
    <w:p w:rsidR="008C749B" w:rsidRDefault="008C749B" w:rsidP="008C749B">
      <w:pPr>
        <w:bidi/>
        <w:jc w:val="center"/>
        <w:rPr>
          <w:rFonts w:ascii="Traditional Arabic" w:eastAsia="Calibri" w:hAnsi="Traditional Arabic" w:cs="Traditional Arabic"/>
          <w:b/>
          <w:bCs/>
          <w:sz w:val="28"/>
          <w:szCs w:val="28"/>
          <w:rtl/>
        </w:rPr>
      </w:pPr>
      <w:r w:rsidRPr="008C749B">
        <w:rPr>
          <w:rFonts w:ascii="Traditional Arabic" w:eastAsia="Calibri" w:hAnsi="Traditional Arabic" w:cs="Traditional Arabic" w:hint="cs"/>
          <w:b/>
          <w:bCs/>
          <w:sz w:val="28"/>
          <w:szCs w:val="28"/>
          <w:rtl/>
        </w:rPr>
        <w:t>الجدول (</w:t>
      </w:r>
      <w:r w:rsidR="00DE7B10">
        <w:rPr>
          <w:rFonts w:ascii="Traditional Arabic" w:eastAsia="Calibri" w:hAnsi="Traditional Arabic" w:cs="Traditional Arabic"/>
          <w:b/>
          <w:bCs/>
          <w:sz w:val="28"/>
          <w:szCs w:val="28"/>
        </w:rPr>
        <w:t>01</w:t>
      </w:r>
      <w:r w:rsidRPr="008C749B">
        <w:rPr>
          <w:rFonts w:ascii="Traditional Arabic" w:eastAsia="Calibri" w:hAnsi="Traditional Arabic" w:cs="Traditional Arabic" w:hint="cs"/>
          <w:b/>
          <w:bCs/>
          <w:sz w:val="28"/>
          <w:szCs w:val="28"/>
          <w:rtl/>
        </w:rPr>
        <w:t>): المجالات لثمانية للمرجع الوطني (</w:t>
      </w:r>
      <w:r w:rsidRPr="008C749B">
        <w:rPr>
          <w:rFonts w:ascii="Traditional Arabic" w:eastAsia="Calibri" w:hAnsi="Traditional Arabic" w:cs="Traditional Arabic"/>
          <w:b/>
          <w:bCs/>
          <w:sz w:val="28"/>
          <w:szCs w:val="28"/>
        </w:rPr>
        <w:t>RNAQ-ESRS 2023</w:t>
      </w:r>
      <w:r w:rsidRPr="008C749B">
        <w:rPr>
          <w:rFonts w:ascii="Traditional Arabic" w:eastAsia="Calibri" w:hAnsi="Traditional Arabic" w:cs="Traditional Arabic" w:hint="cs"/>
          <w:b/>
          <w:bCs/>
          <w:sz w:val="28"/>
          <w:szCs w:val="28"/>
          <w:rtl/>
        </w:rPr>
        <w:t>)</w:t>
      </w:r>
    </w:p>
    <w:tbl>
      <w:tblPr>
        <w:tblStyle w:val="Grilledutableau"/>
        <w:bidiVisual/>
        <w:tblW w:w="0" w:type="auto"/>
        <w:tblLook w:val="04A0" w:firstRow="1" w:lastRow="0" w:firstColumn="1" w:lastColumn="0" w:noHBand="0" w:noVBand="1"/>
      </w:tblPr>
      <w:tblGrid>
        <w:gridCol w:w="3121"/>
        <w:gridCol w:w="1419"/>
        <w:gridCol w:w="1729"/>
        <w:gridCol w:w="1402"/>
        <w:gridCol w:w="1391"/>
      </w:tblGrid>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المجال الرئيسي</w:t>
            </w:r>
          </w:p>
        </w:tc>
        <w:tc>
          <w:tcPr>
            <w:tcW w:w="1419"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عدد الحقول (</w:t>
            </w:r>
            <w:r>
              <w:rPr>
                <w:rFonts w:ascii="Traditional Arabic" w:eastAsia="Calibri" w:hAnsi="Traditional Arabic" w:cs="Traditional Arabic"/>
                <w:b/>
                <w:bCs/>
                <w:sz w:val="28"/>
                <w:szCs w:val="28"/>
              </w:rPr>
              <w:t>Champs</w:t>
            </w:r>
            <w:r>
              <w:rPr>
                <w:rFonts w:ascii="Traditional Arabic" w:eastAsia="Calibri" w:hAnsi="Traditional Arabic" w:cs="Traditional Arabic" w:hint="cs"/>
                <w:b/>
                <w:bCs/>
                <w:sz w:val="28"/>
                <w:szCs w:val="28"/>
                <w:rtl/>
              </w:rPr>
              <w:t>)</w:t>
            </w:r>
          </w:p>
        </w:tc>
        <w:tc>
          <w:tcPr>
            <w:tcW w:w="1729"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عدد المراجع (</w:t>
            </w:r>
            <w:r>
              <w:rPr>
                <w:rFonts w:ascii="Traditional Arabic" w:eastAsia="Calibri" w:hAnsi="Traditional Arabic" w:cs="Traditional Arabic"/>
                <w:b/>
                <w:bCs/>
                <w:sz w:val="28"/>
                <w:szCs w:val="28"/>
              </w:rPr>
              <w:t>Références</w:t>
            </w:r>
            <w:r>
              <w:rPr>
                <w:rFonts w:ascii="Traditional Arabic" w:eastAsia="Calibri" w:hAnsi="Traditional Arabic" w:cs="Traditional Arabic" w:hint="cs"/>
                <w:b/>
                <w:bCs/>
                <w:sz w:val="28"/>
                <w:szCs w:val="28"/>
                <w:rtl/>
              </w:rPr>
              <w:t>)</w:t>
            </w:r>
          </w:p>
        </w:tc>
        <w:tc>
          <w:tcPr>
            <w:tcW w:w="1402"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عدد المعايير (</w:t>
            </w:r>
            <w:r>
              <w:rPr>
                <w:rFonts w:ascii="Traditional Arabic" w:eastAsia="Calibri" w:hAnsi="Traditional Arabic" w:cs="Traditional Arabic"/>
                <w:b/>
                <w:bCs/>
                <w:sz w:val="28"/>
                <w:szCs w:val="28"/>
              </w:rPr>
              <w:t>Critères</w:t>
            </w:r>
            <w:r>
              <w:rPr>
                <w:rFonts w:ascii="Traditional Arabic" w:eastAsia="Calibri" w:hAnsi="Traditional Arabic" w:cs="Traditional Arabic" w:hint="cs"/>
                <w:b/>
                <w:bCs/>
                <w:sz w:val="28"/>
                <w:szCs w:val="28"/>
                <w:rtl/>
              </w:rPr>
              <w:t>)</w:t>
            </w:r>
          </w:p>
        </w:tc>
        <w:tc>
          <w:tcPr>
            <w:tcW w:w="139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عدد الأدلة (</w:t>
            </w:r>
            <w:r>
              <w:rPr>
                <w:rFonts w:ascii="Traditional Arabic" w:eastAsia="Calibri" w:hAnsi="Traditional Arabic" w:cs="Traditional Arabic"/>
                <w:b/>
                <w:bCs/>
                <w:sz w:val="28"/>
                <w:szCs w:val="28"/>
              </w:rPr>
              <w:t>Preuves</w:t>
            </w:r>
            <w:r>
              <w:rPr>
                <w:rFonts w:ascii="Traditional Arabic" w:eastAsia="Calibri" w:hAnsi="Traditional Arabic" w:cs="Traditional Arabic" w:hint="cs"/>
                <w:b/>
                <w:bCs/>
                <w:sz w:val="28"/>
                <w:szCs w:val="28"/>
                <w:rtl/>
              </w:rPr>
              <w:t>)</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التكوين (</w:t>
            </w:r>
            <w:r>
              <w:rPr>
                <w:rFonts w:ascii="Traditional Arabic" w:eastAsia="Calibri" w:hAnsi="Traditional Arabic" w:cs="Traditional Arabic"/>
                <w:b/>
                <w:bCs/>
                <w:sz w:val="28"/>
                <w:szCs w:val="28"/>
              </w:rPr>
              <w:t>Formation</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6</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14</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54</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181</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البحث والابتكار (</w:t>
            </w:r>
            <w:r>
              <w:rPr>
                <w:rFonts w:ascii="Traditional Arabic" w:eastAsia="Calibri" w:hAnsi="Traditional Arabic" w:cs="Traditional Arabic"/>
                <w:b/>
                <w:bCs/>
                <w:sz w:val="28"/>
                <w:szCs w:val="28"/>
              </w:rPr>
              <w:t>Recherche et Innovation</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16</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57</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159</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proofErr w:type="spellStart"/>
            <w:r>
              <w:rPr>
                <w:rFonts w:ascii="Traditional Arabic" w:eastAsia="Calibri" w:hAnsi="Traditional Arabic" w:cs="Traditional Arabic" w:hint="cs"/>
                <w:b/>
                <w:bCs/>
                <w:sz w:val="28"/>
                <w:szCs w:val="28"/>
                <w:rtl/>
              </w:rPr>
              <w:t>الحوكمة</w:t>
            </w:r>
            <w:proofErr w:type="spellEnd"/>
            <w:r>
              <w:rPr>
                <w:rFonts w:ascii="Traditional Arabic" w:eastAsia="Calibri" w:hAnsi="Traditional Arabic" w:cs="Traditional Arabic" w:hint="cs"/>
                <w:b/>
                <w:bCs/>
                <w:sz w:val="28"/>
                <w:szCs w:val="28"/>
                <w:rtl/>
              </w:rPr>
              <w:t xml:space="preserve"> (</w:t>
            </w:r>
            <w:r>
              <w:rPr>
                <w:rFonts w:ascii="Traditional Arabic" w:eastAsia="Calibri" w:hAnsi="Traditional Arabic" w:cs="Traditional Arabic"/>
                <w:b/>
                <w:bCs/>
                <w:sz w:val="28"/>
                <w:szCs w:val="28"/>
              </w:rPr>
              <w:t>Gouvernance</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5</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22</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59</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206</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الحياة الجامعية (</w:t>
            </w:r>
            <w:r>
              <w:rPr>
                <w:rFonts w:ascii="Traditional Arabic" w:eastAsia="Calibri" w:hAnsi="Traditional Arabic" w:cs="Traditional Arabic"/>
                <w:b/>
                <w:bCs/>
                <w:sz w:val="28"/>
                <w:szCs w:val="28"/>
              </w:rPr>
              <w:t>Vie dans les EESRS</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7</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16</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70</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البنى التحتية (</w:t>
            </w:r>
            <w:r>
              <w:rPr>
                <w:rFonts w:ascii="Traditional Arabic" w:eastAsia="Calibri" w:hAnsi="Traditional Arabic" w:cs="Traditional Arabic"/>
                <w:b/>
                <w:bCs/>
                <w:sz w:val="28"/>
                <w:szCs w:val="28"/>
              </w:rPr>
              <w:t>Infrastructures</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5</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12</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22</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74</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lastRenderedPageBreak/>
              <w:t>العلاقات مع المحيط الاقتصادي والاجتماعي (</w:t>
            </w:r>
            <w:r>
              <w:rPr>
                <w:rFonts w:ascii="Traditional Arabic" w:eastAsia="Calibri" w:hAnsi="Traditional Arabic" w:cs="Traditional Arabic"/>
                <w:b/>
                <w:bCs/>
                <w:sz w:val="28"/>
                <w:szCs w:val="28"/>
              </w:rPr>
              <w:t>Relations ESE</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7</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33</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114</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التعاون الدولي (</w:t>
            </w:r>
            <w:r>
              <w:rPr>
                <w:rFonts w:ascii="Traditional Arabic" w:eastAsia="Calibri" w:hAnsi="Traditional Arabic" w:cs="Traditional Arabic"/>
                <w:b/>
                <w:bCs/>
                <w:sz w:val="28"/>
                <w:szCs w:val="28"/>
              </w:rPr>
              <w:t>Coopération Internationale</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11</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25</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100</w:t>
            </w:r>
          </w:p>
        </w:tc>
      </w:tr>
      <w:tr w:rsidR="008C749B" w:rsidTr="002D2B3E">
        <w:tc>
          <w:tcPr>
            <w:tcW w:w="3121" w:type="dxa"/>
          </w:tcPr>
          <w:p w:rsidR="008C749B" w:rsidRDefault="008C749B" w:rsidP="008C749B">
            <w:pPr>
              <w:bidi/>
              <w:jc w:val="center"/>
              <w:rPr>
                <w:rFonts w:ascii="Traditional Arabic" w:eastAsia="Calibri" w:hAnsi="Traditional Arabic" w:cs="Traditional Arabic"/>
                <w:b/>
                <w:bCs/>
                <w:sz w:val="28"/>
                <w:szCs w:val="28"/>
                <w:rtl/>
              </w:rPr>
            </w:pPr>
            <w:r>
              <w:rPr>
                <w:rFonts w:ascii="Traditional Arabic" w:eastAsia="Calibri" w:hAnsi="Traditional Arabic" w:cs="Traditional Arabic" w:hint="cs"/>
                <w:b/>
                <w:bCs/>
                <w:sz w:val="28"/>
                <w:szCs w:val="28"/>
                <w:rtl/>
              </w:rPr>
              <w:t>المسؤولية المجتمعية والتنمية المستدامة (</w:t>
            </w:r>
            <w:r>
              <w:rPr>
                <w:rFonts w:ascii="Traditional Arabic" w:eastAsia="Calibri" w:hAnsi="Traditional Arabic" w:cs="Traditional Arabic"/>
                <w:b/>
                <w:bCs/>
                <w:sz w:val="28"/>
                <w:szCs w:val="28"/>
              </w:rPr>
              <w:t>RSU et DD</w:t>
            </w:r>
            <w:r>
              <w:rPr>
                <w:rFonts w:ascii="Traditional Arabic" w:eastAsia="Calibri" w:hAnsi="Traditional Arabic" w:cs="Traditional Arabic" w:hint="cs"/>
                <w:b/>
                <w:bCs/>
                <w:sz w:val="28"/>
                <w:szCs w:val="28"/>
                <w:rtl/>
              </w:rPr>
              <w:t>)</w:t>
            </w:r>
          </w:p>
        </w:tc>
        <w:tc>
          <w:tcPr>
            <w:tcW w:w="141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3</w:t>
            </w:r>
          </w:p>
        </w:tc>
        <w:tc>
          <w:tcPr>
            <w:tcW w:w="1729"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13</w:t>
            </w:r>
          </w:p>
        </w:tc>
        <w:tc>
          <w:tcPr>
            <w:tcW w:w="1402"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41</w:t>
            </w:r>
          </w:p>
        </w:tc>
        <w:tc>
          <w:tcPr>
            <w:tcW w:w="1391" w:type="dxa"/>
          </w:tcPr>
          <w:p w:rsidR="008C749B" w:rsidRPr="008C749B" w:rsidRDefault="008C749B" w:rsidP="008C749B">
            <w:pPr>
              <w:bidi/>
              <w:jc w:val="center"/>
              <w:rPr>
                <w:rFonts w:ascii="Traditional Arabic" w:eastAsia="Calibri" w:hAnsi="Traditional Arabic" w:cs="Traditional Arabic"/>
                <w:sz w:val="28"/>
                <w:szCs w:val="28"/>
                <w:rtl/>
              </w:rPr>
            </w:pPr>
            <w:r w:rsidRPr="008C749B">
              <w:rPr>
                <w:rFonts w:ascii="Traditional Arabic" w:eastAsia="Calibri" w:hAnsi="Traditional Arabic" w:cs="Traditional Arabic" w:hint="cs"/>
                <w:sz w:val="28"/>
                <w:szCs w:val="28"/>
                <w:rtl/>
              </w:rPr>
              <w:t>131</w:t>
            </w:r>
          </w:p>
        </w:tc>
      </w:tr>
    </w:tbl>
    <w:p w:rsidR="008C749B" w:rsidRDefault="00F975C5" w:rsidP="00F975C5">
      <w:pPr>
        <w:bidi/>
        <w:rPr>
          <w:rFonts w:ascii="Traditional Arabic" w:eastAsia="Calibri" w:hAnsi="Traditional Arabic" w:cs="Traditional Arabic" w:hint="cs"/>
          <w:sz w:val="28"/>
          <w:szCs w:val="28"/>
          <w:rtl/>
          <w:lang w:bidi="ar-DZ"/>
        </w:rPr>
      </w:pPr>
      <w:r>
        <w:rPr>
          <w:rFonts w:ascii="Traditional Arabic" w:eastAsia="Calibri" w:hAnsi="Traditional Arabic" w:cs="Traditional Arabic" w:hint="cs"/>
          <w:b/>
          <w:bCs/>
          <w:sz w:val="28"/>
          <w:szCs w:val="28"/>
          <w:rtl/>
          <w:lang w:bidi="ar-DZ"/>
        </w:rPr>
        <w:t xml:space="preserve">المصدر: </w:t>
      </w:r>
      <w:r w:rsidR="00EE4EEF">
        <w:rPr>
          <w:rFonts w:ascii="Traditional Arabic" w:eastAsia="Calibri" w:hAnsi="Traditional Arabic" w:cs="Traditional Arabic" w:hint="cs"/>
          <w:sz w:val="28"/>
          <w:szCs w:val="28"/>
          <w:rtl/>
          <w:lang w:bidi="ar-DZ"/>
        </w:rPr>
        <w:t xml:space="preserve">من إعداد الباحثتين </w:t>
      </w:r>
      <w:r w:rsidRPr="00F975C5">
        <w:rPr>
          <w:rFonts w:ascii="Traditional Arabic" w:eastAsia="Calibri" w:hAnsi="Traditional Arabic" w:cs="Traditional Arabic" w:hint="cs"/>
          <w:sz w:val="28"/>
          <w:szCs w:val="28"/>
          <w:rtl/>
          <w:lang w:bidi="ar-DZ"/>
        </w:rPr>
        <w:t>بالاعتماد على ال</w:t>
      </w:r>
      <w:r w:rsidRPr="00F975C5">
        <w:rPr>
          <w:rFonts w:ascii="Traditional Arabic" w:eastAsia="Calibri" w:hAnsi="Traditional Arabic" w:cs="Traditional Arabic" w:hint="cs"/>
          <w:sz w:val="28"/>
          <w:szCs w:val="28"/>
          <w:rtl/>
        </w:rPr>
        <w:t>مرجع الوطني (</w:t>
      </w:r>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r w:rsidR="00D66C4E">
        <w:rPr>
          <w:rFonts w:ascii="Traditional Arabic" w:eastAsia="Calibri" w:hAnsi="Traditional Arabic" w:cs="Traditional Arabic" w:hint="cs"/>
          <w:sz w:val="28"/>
          <w:szCs w:val="28"/>
          <w:rtl/>
          <w:lang w:bidi="ar-DZ"/>
        </w:rPr>
        <w:t>، ص 07.</w:t>
      </w:r>
    </w:p>
    <w:p w:rsidR="00F975C5" w:rsidRDefault="00F975C5" w:rsidP="00F975C5">
      <w:pPr>
        <w:pStyle w:val="Paragraphedeliste"/>
        <w:numPr>
          <w:ilvl w:val="2"/>
          <w:numId w:val="1"/>
        </w:numPr>
        <w:bidi/>
        <w:rPr>
          <w:rFonts w:ascii="Traditional Arabic" w:eastAsia="Calibri" w:hAnsi="Traditional Arabic" w:cs="Traditional Arabic"/>
          <w:b/>
          <w:bCs/>
          <w:sz w:val="28"/>
          <w:szCs w:val="28"/>
          <w:lang w:bidi="ar-DZ"/>
        </w:rPr>
      </w:pPr>
      <w:r>
        <w:rPr>
          <w:rFonts w:ascii="Traditional Arabic" w:eastAsia="Calibri" w:hAnsi="Traditional Arabic" w:cs="Traditional Arabic" w:hint="cs"/>
          <w:b/>
          <w:bCs/>
          <w:sz w:val="28"/>
          <w:szCs w:val="28"/>
          <w:rtl/>
          <w:lang w:bidi="ar-DZ"/>
        </w:rPr>
        <w:t xml:space="preserve">المجال الأول: </w:t>
      </w:r>
      <w:r>
        <w:rPr>
          <w:rFonts w:ascii="Traditional Arabic" w:eastAsia="Calibri" w:hAnsi="Traditional Arabic" w:cs="Traditional Arabic" w:hint="cs"/>
          <w:b/>
          <w:bCs/>
          <w:sz w:val="28"/>
          <w:szCs w:val="28"/>
          <w:rtl/>
        </w:rPr>
        <w:t>التكوين (</w:t>
      </w:r>
      <w:r>
        <w:rPr>
          <w:rFonts w:ascii="Traditional Arabic" w:eastAsia="Calibri" w:hAnsi="Traditional Arabic" w:cs="Traditional Arabic"/>
          <w:b/>
          <w:bCs/>
          <w:sz w:val="28"/>
          <w:szCs w:val="28"/>
        </w:rPr>
        <w:t>Formation</w:t>
      </w:r>
      <w:r>
        <w:rPr>
          <w:rFonts w:ascii="Traditional Arabic" w:eastAsia="Calibri" w:hAnsi="Traditional Arabic" w:cs="Traditional Arabic" w:hint="cs"/>
          <w:b/>
          <w:bCs/>
          <w:sz w:val="28"/>
          <w:szCs w:val="28"/>
          <w:rtl/>
        </w:rPr>
        <w:t>)</w:t>
      </w:r>
    </w:p>
    <w:p w:rsidR="00F975C5" w:rsidRPr="00F975C5" w:rsidRDefault="00F975C5" w:rsidP="00A569EE">
      <w:pPr>
        <w:bidi/>
        <w:rPr>
          <w:rFonts w:ascii="Traditional Arabic" w:eastAsia="Calibri" w:hAnsi="Traditional Arabic" w:cs="Traditional Arabic"/>
          <w:sz w:val="28"/>
          <w:szCs w:val="28"/>
          <w:rtl/>
          <w:lang w:bidi="ar-DZ"/>
        </w:rPr>
      </w:pPr>
      <w:r w:rsidRPr="00F975C5">
        <w:rPr>
          <w:rFonts w:ascii="Traditional Arabic" w:eastAsia="Calibri" w:hAnsi="Traditional Arabic" w:cs="Traditional Arabic" w:hint="cs"/>
          <w:sz w:val="28"/>
          <w:szCs w:val="28"/>
          <w:rtl/>
          <w:lang w:bidi="ar-DZ"/>
        </w:rPr>
        <w:t>يركز هذا المجال على ملاءمة العرض التكويني مع احتياجات المحيط الوطني والدولي، وضمان جودة البرامج والمناهج وطرق التدريس. ويتضمن ستة حقول رئيسية:</w:t>
      </w:r>
      <w:r w:rsidR="00A569EE">
        <w:rPr>
          <w:rStyle w:val="Appelnotedebasdep"/>
          <w:rFonts w:ascii="Traditional Arabic" w:eastAsia="Calibri" w:hAnsi="Traditional Arabic" w:cs="Traditional Arabic"/>
          <w:sz w:val="28"/>
          <w:szCs w:val="28"/>
          <w:rtl/>
          <w:lang w:bidi="ar-DZ"/>
        </w:rPr>
        <w:footnoteReference w:id="7"/>
      </w:r>
    </w:p>
    <w:p w:rsidR="00F975C5" w:rsidRP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تعريف العرض التكويني وتسييره</w:t>
      </w:r>
    </w:p>
    <w:p w:rsidR="00F975C5" w:rsidRP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مرافقة الطالب في مساره التكويني</w:t>
      </w:r>
    </w:p>
    <w:p w:rsidR="00F975C5" w:rsidRP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تقييم وتحسين التعليم</w:t>
      </w:r>
    </w:p>
    <w:p w:rsidR="00F975C5" w:rsidRP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التحكم في المعارف والتعلم</w:t>
      </w:r>
    </w:p>
    <w:p w:rsidR="00F975C5" w:rsidRP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التوجيه والادماج المهني</w:t>
      </w:r>
    </w:p>
    <w:p w:rsidR="00F975C5" w:rsidRDefault="00F975C5" w:rsidP="00F975C5">
      <w:pPr>
        <w:pStyle w:val="Paragraphedeliste"/>
        <w:numPr>
          <w:ilvl w:val="0"/>
          <w:numId w:val="2"/>
        </w:numPr>
        <w:bidi/>
        <w:rPr>
          <w:rFonts w:ascii="Traditional Arabic" w:eastAsia="Calibri" w:hAnsi="Traditional Arabic" w:cs="Traditional Arabic"/>
          <w:sz w:val="28"/>
          <w:szCs w:val="28"/>
          <w:lang w:bidi="ar-DZ"/>
        </w:rPr>
      </w:pPr>
      <w:r w:rsidRPr="00F975C5">
        <w:rPr>
          <w:rFonts w:ascii="Traditional Arabic" w:eastAsia="Calibri" w:hAnsi="Traditional Arabic" w:cs="Traditional Arabic" w:hint="cs"/>
          <w:sz w:val="28"/>
          <w:szCs w:val="28"/>
          <w:rtl/>
          <w:lang w:bidi="ar-DZ"/>
        </w:rPr>
        <w:t xml:space="preserve">التكوين </w:t>
      </w:r>
      <w:proofErr w:type="spellStart"/>
      <w:r w:rsidRPr="00F975C5">
        <w:rPr>
          <w:rFonts w:ascii="Traditional Arabic" w:eastAsia="Calibri" w:hAnsi="Traditional Arabic" w:cs="Traditional Arabic" w:hint="cs"/>
          <w:sz w:val="28"/>
          <w:szCs w:val="28"/>
          <w:rtl/>
          <w:lang w:bidi="ar-DZ"/>
        </w:rPr>
        <w:t>الدكتورالي</w:t>
      </w:r>
      <w:proofErr w:type="spellEnd"/>
    </w:p>
    <w:p w:rsidR="004E1C9F" w:rsidRDefault="004E1C9F" w:rsidP="004E1C9F">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ومن الأمثلة على معايير هذا المجال:</w:t>
      </w:r>
    </w:p>
    <w:p w:rsidR="00EE4EEF" w:rsidRPr="00EE4EEF" w:rsidRDefault="004E1C9F" w:rsidP="00EE4EEF">
      <w:pPr>
        <w:pStyle w:val="Paragraphedeliste"/>
        <w:numPr>
          <w:ilvl w:val="0"/>
          <w:numId w:val="2"/>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وضع الآليات لتقييم البرامج بانتظام وإشراك جميع الأطراف (طلبة، أساتذة، مهنيين)</w:t>
      </w:r>
      <w:r w:rsidR="00EE4EEF">
        <w:rPr>
          <w:rFonts w:ascii="Traditional Arabic" w:eastAsia="Calibri" w:hAnsi="Traditional Arabic" w:cs="Traditional Arabic" w:hint="cs"/>
          <w:sz w:val="28"/>
          <w:szCs w:val="28"/>
          <w:rtl/>
          <w:lang w:bidi="ar-DZ"/>
        </w:rPr>
        <w:t>.</w:t>
      </w:r>
    </w:p>
    <w:p w:rsidR="00EE4EEF" w:rsidRPr="005A703B" w:rsidRDefault="004E1C9F" w:rsidP="005A703B">
      <w:pPr>
        <w:pStyle w:val="Paragraphedeliste"/>
        <w:numPr>
          <w:ilvl w:val="0"/>
          <w:numId w:val="2"/>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ضمان أن تكون العروض التكوينية متلائمة مع احتياجات سوق العمل الوطني والدولي.</w:t>
      </w:r>
    </w:p>
    <w:p w:rsidR="00B2256E" w:rsidRDefault="00B2256E" w:rsidP="00A569EE">
      <w:pPr>
        <w:bidi/>
        <w:jc w:val="center"/>
        <w:rPr>
          <w:rFonts w:ascii="Traditional Arabic" w:eastAsia="Calibri" w:hAnsi="Traditional Arabic" w:cs="Traditional Arabic"/>
          <w:b/>
          <w:bCs/>
          <w:sz w:val="28"/>
          <w:szCs w:val="28"/>
          <w:rtl/>
          <w:lang w:bidi="ar-DZ"/>
        </w:rPr>
      </w:pPr>
    </w:p>
    <w:p w:rsidR="00755DF4" w:rsidRPr="00CB06AD" w:rsidRDefault="00F975C5" w:rsidP="00B2256E">
      <w:pPr>
        <w:bidi/>
        <w:jc w:val="center"/>
        <w:rPr>
          <w:rFonts w:ascii="Traditional Arabic" w:eastAsia="Calibri" w:hAnsi="Traditional Arabic" w:cs="Traditional Arabic"/>
          <w:b/>
          <w:bCs/>
          <w:sz w:val="28"/>
          <w:szCs w:val="28"/>
          <w:rtl/>
          <w:lang w:bidi="ar-DZ"/>
        </w:rPr>
      </w:pPr>
      <w:r w:rsidRPr="00CB06AD">
        <w:rPr>
          <w:rFonts w:ascii="Traditional Arabic" w:eastAsia="Calibri" w:hAnsi="Traditional Arabic" w:cs="Traditional Arabic" w:hint="cs"/>
          <w:b/>
          <w:bCs/>
          <w:sz w:val="28"/>
          <w:szCs w:val="28"/>
          <w:rtl/>
          <w:lang w:bidi="ar-DZ"/>
        </w:rPr>
        <w:lastRenderedPageBreak/>
        <w:t>الجدول (</w:t>
      </w:r>
      <w:r w:rsidR="00DE7B10">
        <w:rPr>
          <w:rFonts w:ascii="Traditional Arabic" w:eastAsia="Calibri" w:hAnsi="Traditional Arabic" w:cs="Traditional Arabic"/>
          <w:b/>
          <w:bCs/>
          <w:sz w:val="28"/>
          <w:szCs w:val="28"/>
          <w:lang w:bidi="ar-DZ"/>
        </w:rPr>
        <w:t>02</w:t>
      </w:r>
      <w:r w:rsidRPr="00CB06AD">
        <w:rPr>
          <w:rFonts w:ascii="Traditional Arabic" w:eastAsia="Calibri" w:hAnsi="Traditional Arabic" w:cs="Traditional Arabic" w:hint="cs"/>
          <w:b/>
          <w:bCs/>
          <w:sz w:val="28"/>
          <w:szCs w:val="28"/>
          <w:rtl/>
          <w:lang w:bidi="ar-DZ"/>
        </w:rPr>
        <w:t>):</w:t>
      </w:r>
      <w:r w:rsidR="00755DF4">
        <w:rPr>
          <w:rFonts w:ascii="Traditional Arabic" w:eastAsia="Calibri" w:hAnsi="Traditional Arabic" w:cs="Traditional Arabic" w:hint="cs"/>
          <w:b/>
          <w:bCs/>
          <w:sz w:val="28"/>
          <w:szCs w:val="28"/>
          <w:rtl/>
          <w:lang w:bidi="ar-DZ"/>
        </w:rPr>
        <w:t xml:space="preserve"> حقول المجال الأول: </w:t>
      </w:r>
      <w:r w:rsidR="00755DF4">
        <w:rPr>
          <w:rFonts w:ascii="Traditional Arabic" w:eastAsia="Calibri" w:hAnsi="Traditional Arabic" w:cs="Traditional Arabic" w:hint="cs"/>
          <w:b/>
          <w:bCs/>
          <w:sz w:val="28"/>
          <w:szCs w:val="28"/>
          <w:rtl/>
        </w:rPr>
        <w:t>التكوين</w:t>
      </w:r>
    </w:p>
    <w:tbl>
      <w:tblPr>
        <w:tblStyle w:val="Grilledutableau"/>
        <w:bidiVisual/>
        <w:tblW w:w="0" w:type="auto"/>
        <w:tblLook w:val="04A0" w:firstRow="1" w:lastRow="0" w:firstColumn="1" w:lastColumn="0" w:noHBand="0" w:noVBand="1"/>
      </w:tblPr>
      <w:tblGrid>
        <w:gridCol w:w="2265"/>
        <w:gridCol w:w="2265"/>
        <w:gridCol w:w="2266"/>
        <w:gridCol w:w="2266"/>
      </w:tblGrid>
      <w:tr w:rsidR="00F975C5" w:rsidTr="00F975C5">
        <w:tc>
          <w:tcPr>
            <w:tcW w:w="2265"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الحقل</w:t>
            </w:r>
          </w:p>
        </w:tc>
        <w:tc>
          <w:tcPr>
            <w:tcW w:w="2265"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المراجع</w:t>
            </w:r>
          </w:p>
        </w:tc>
        <w:tc>
          <w:tcPr>
            <w:tcW w:w="2266"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المعايير</w:t>
            </w:r>
          </w:p>
        </w:tc>
        <w:tc>
          <w:tcPr>
            <w:tcW w:w="2266"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أمثلة على الأدلة</w:t>
            </w:r>
          </w:p>
        </w:tc>
      </w:tr>
      <w:tr w:rsidR="00F975C5" w:rsidTr="00F975C5">
        <w:tc>
          <w:tcPr>
            <w:tcW w:w="2265"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تعريف العرض التكويني وتسييره</w:t>
            </w:r>
          </w:p>
        </w:tc>
        <w:tc>
          <w:tcPr>
            <w:tcW w:w="2265" w:type="dxa"/>
          </w:tcPr>
          <w:p w:rsidR="00F975C5" w:rsidRDefault="00F975C5"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ملاءمة العرض مع المحيط الوطني والدولي</w:t>
            </w:r>
          </w:p>
        </w:tc>
        <w:tc>
          <w:tcPr>
            <w:tcW w:w="2266" w:type="dxa"/>
          </w:tcPr>
          <w:p w:rsidR="00F975C5" w:rsidRDefault="00F975C5"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 xml:space="preserve">وجود جهاز لتحديد الاحتياجات التكوينية </w:t>
            </w:r>
          </w:p>
        </w:tc>
        <w:tc>
          <w:tcPr>
            <w:tcW w:w="2266" w:type="dxa"/>
          </w:tcPr>
          <w:p w:rsidR="00F975C5" w:rsidRDefault="004E1C9F"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تقارير تحديد الاحتياجات، محاضر الاجتماعات مع الشركاء</w:t>
            </w:r>
          </w:p>
        </w:tc>
      </w:tr>
      <w:tr w:rsidR="00F975C5" w:rsidTr="00F975C5">
        <w:tc>
          <w:tcPr>
            <w:tcW w:w="2265"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مرافقة الطالب في مساره التكويني</w:t>
            </w:r>
          </w:p>
        </w:tc>
        <w:tc>
          <w:tcPr>
            <w:tcW w:w="2265" w:type="dxa"/>
          </w:tcPr>
          <w:p w:rsidR="00F975C5" w:rsidRDefault="00F975C5"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سياسة مرافقة الطلبة</w:t>
            </w:r>
          </w:p>
        </w:tc>
        <w:tc>
          <w:tcPr>
            <w:tcW w:w="2266" w:type="dxa"/>
          </w:tcPr>
          <w:p w:rsidR="00F975C5" w:rsidRDefault="00F975C5"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وضع نظام للتوجيه الأكاديمي والدعم النفسي</w:t>
            </w:r>
          </w:p>
        </w:tc>
        <w:tc>
          <w:tcPr>
            <w:tcW w:w="2266" w:type="dxa"/>
          </w:tcPr>
          <w:p w:rsidR="00F975C5" w:rsidRDefault="004E1C9F"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وجود دليل الطالب، نسبة الطلبة المستفيدين من التوجيه</w:t>
            </w:r>
          </w:p>
        </w:tc>
      </w:tr>
      <w:tr w:rsidR="00F975C5" w:rsidTr="00F975C5">
        <w:tc>
          <w:tcPr>
            <w:tcW w:w="2265" w:type="dxa"/>
          </w:tcPr>
          <w:p w:rsidR="00F975C5" w:rsidRPr="00D87210" w:rsidRDefault="00F975C5" w:rsidP="00F975C5">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تقييم وتحسين التعليم</w:t>
            </w:r>
          </w:p>
        </w:tc>
        <w:tc>
          <w:tcPr>
            <w:tcW w:w="2265" w:type="dxa"/>
          </w:tcPr>
          <w:p w:rsidR="00F975C5" w:rsidRDefault="00F975C5"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تقييم التدريس دوريا</w:t>
            </w:r>
          </w:p>
        </w:tc>
        <w:tc>
          <w:tcPr>
            <w:tcW w:w="2266" w:type="dxa"/>
          </w:tcPr>
          <w:p w:rsidR="00F975C5" w:rsidRDefault="004E1C9F"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اعتماد آليات تقييم من قبل الطلبة والأساتذة</w:t>
            </w:r>
          </w:p>
        </w:tc>
        <w:tc>
          <w:tcPr>
            <w:tcW w:w="2266" w:type="dxa"/>
          </w:tcPr>
          <w:p w:rsidR="00F975C5" w:rsidRDefault="004E1C9F" w:rsidP="00F975C5">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استمارات التقييم، خطط التحسين المعتمدة</w:t>
            </w:r>
          </w:p>
        </w:tc>
      </w:tr>
    </w:tbl>
    <w:p w:rsidR="001569CF" w:rsidRPr="00B2256E" w:rsidRDefault="001569CF" w:rsidP="00B2256E">
      <w:pPr>
        <w:bidi/>
        <w:rPr>
          <w:rFonts w:ascii="Traditional Arabic" w:eastAsia="Calibri" w:hAnsi="Traditional Arabic" w:cs="Traditional Arabic"/>
          <w:sz w:val="28"/>
          <w:szCs w:val="28"/>
          <w:rtl/>
        </w:rPr>
      </w:pPr>
      <w:r w:rsidRPr="00B2256E">
        <w:rPr>
          <w:rFonts w:ascii="Traditional Arabic" w:eastAsia="Calibri" w:hAnsi="Traditional Arabic" w:cs="Traditional Arabic" w:hint="cs"/>
          <w:b/>
          <w:bCs/>
          <w:sz w:val="28"/>
          <w:szCs w:val="28"/>
          <w:rtl/>
          <w:lang w:bidi="ar-DZ"/>
        </w:rPr>
        <w:t xml:space="preserve">المصدر: </w:t>
      </w:r>
      <w:r w:rsidRPr="00B2256E">
        <w:rPr>
          <w:rFonts w:ascii="Traditional Arabic" w:eastAsia="Calibri" w:hAnsi="Traditional Arabic" w:cs="Traditional Arabic" w:hint="cs"/>
          <w:sz w:val="28"/>
          <w:szCs w:val="28"/>
          <w:rtl/>
          <w:lang w:bidi="ar-DZ"/>
        </w:rPr>
        <w:t>من إعداد الباحثة بالاعتماد على ال</w:t>
      </w:r>
      <w:r w:rsidRPr="00B2256E">
        <w:rPr>
          <w:rFonts w:ascii="Traditional Arabic" w:eastAsia="Calibri" w:hAnsi="Traditional Arabic" w:cs="Traditional Arabic" w:hint="cs"/>
          <w:sz w:val="28"/>
          <w:szCs w:val="28"/>
          <w:rtl/>
        </w:rPr>
        <w:t>مرجع الوطني (</w:t>
      </w:r>
      <w:r w:rsidRPr="00B2256E">
        <w:rPr>
          <w:rFonts w:ascii="Traditional Arabic" w:eastAsia="Calibri" w:hAnsi="Traditional Arabic" w:cs="Traditional Arabic"/>
          <w:sz w:val="28"/>
          <w:szCs w:val="28"/>
        </w:rPr>
        <w:t>RNAQ-ESRS 2023</w:t>
      </w:r>
      <w:r w:rsidRPr="00B2256E">
        <w:rPr>
          <w:rFonts w:ascii="Traditional Arabic" w:eastAsia="Calibri" w:hAnsi="Traditional Arabic" w:cs="Traditional Arabic" w:hint="cs"/>
          <w:sz w:val="28"/>
          <w:szCs w:val="28"/>
          <w:rtl/>
        </w:rPr>
        <w:t>)</w:t>
      </w:r>
    </w:p>
    <w:p w:rsidR="00F975C5" w:rsidRPr="00306DBE" w:rsidRDefault="004E1C9F" w:rsidP="00DE7B10">
      <w:pPr>
        <w:pStyle w:val="Paragraphedeliste"/>
        <w:numPr>
          <w:ilvl w:val="2"/>
          <w:numId w:val="1"/>
        </w:numPr>
        <w:bidi/>
        <w:rPr>
          <w:rFonts w:ascii="Traditional Arabic" w:eastAsia="Calibri" w:hAnsi="Traditional Arabic" w:cs="Traditional Arabic"/>
          <w:sz w:val="28"/>
          <w:szCs w:val="28"/>
          <w:lang w:bidi="ar-DZ"/>
        </w:rPr>
      </w:pPr>
      <w:r w:rsidRPr="004E1C9F">
        <w:rPr>
          <w:rFonts w:ascii="Traditional Arabic" w:eastAsia="Calibri" w:hAnsi="Traditional Arabic" w:cs="Traditional Arabic" w:hint="cs"/>
          <w:b/>
          <w:bCs/>
          <w:sz w:val="28"/>
          <w:szCs w:val="28"/>
          <w:rtl/>
        </w:rPr>
        <w:t>المجال الثاني: البحث والابتكار</w:t>
      </w:r>
      <w:r>
        <w:rPr>
          <w:rFonts w:ascii="Traditional Arabic" w:eastAsia="Calibri" w:hAnsi="Traditional Arabic" w:cs="Traditional Arabic" w:hint="cs"/>
          <w:sz w:val="28"/>
          <w:szCs w:val="28"/>
          <w:rtl/>
          <w:lang w:bidi="ar-DZ"/>
        </w:rPr>
        <w:t xml:space="preserve"> </w:t>
      </w:r>
      <w:r>
        <w:rPr>
          <w:rFonts w:ascii="Traditional Arabic" w:eastAsia="Calibri" w:hAnsi="Traditional Arabic" w:cs="Traditional Arabic" w:hint="cs"/>
          <w:b/>
          <w:bCs/>
          <w:sz w:val="28"/>
          <w:szCs w:val="28"/>
          <w:rtl/>
        </w:rPr>
        <w:t>(</w:t>
      </w:r>
      <w:r>
        <w:rPr>
          <w:rFonts w:ascii="Traditional Arabic" w:eastAsia="Calibri" w:hAnsi="Traditional Arabic" w:cs="Traditional Arabic"/>
          <w:b/>
          <w:bCs/>
          <w:sz w:val="28"/>
          <w:szCs w:val="28"/>
        </w:rPr>
        <w:t>Recherche et Innovation</w:t>
      </w:r>
      <w:r>
        <w:rPr>
          <w:rFonts w:ascii="Traditional Arabic" w:eastAsia="Calibri" w:hAnsi="Traditional Arabic" w:cs="Traditional Arabic" w:hint="cs"/>
          <w:b/>
          <w:bCs/>
          <w:sz w:val="28"/>
          <w:szCs w:val="28"/>
          <w:rtl/>
        </w:rPr>
        <w:t>)</w:t>
      </w:r>
    </w:p>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يهدف هذا المجال إلى تطوير سياسة مؤسسية واضحة للبحث العلمي، وتعزيز الابتكار وربط الأنشطة البحثية باحتياجات المحيط الاقتصادي والاجتماعي. ومن أبرز الحقول:</w:t>
      </w:r>
      <w:r w:rsidR="00A569EE">
        <w:rPr>
          <w:rStyle w:val="Appelnotedebasdep"/>
          <w:rFonts w:ascii="Traditional Arabic" w:eastAsia="Calibri" w:hAnsi="Traditional Arabic" w:cs="Traditional Arabic"/>
          <w:sz w:val="28"/>
          <w:szCs w:val="28"/>
          <w:rtl/>
          <w:lang w:bidi="ar-DZ"/>
        </w:rPr>
        <w:footnoteReference w:id="8"/>
      </w:r>
    </w:p>
    <w:p w:rsidR="00306DBE" w:rsidRDefault="00306DBE" w:rsidP="00306DBE">
      <w:pPr>
        <w:pStyle w:val="Paragraphedeliste"/>
        <w:numPr>
          <w:ilvl w:val="0"/>
          <w:numId w:val="2"/>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هيكلة وتنظيم البحث العلمي</w:t>
      </w:r>
    </w:p>
    <w:p w:rsidR="00306DBE" w:rsidRDefault="00306DBE" w:rsidP="00306DBE">
      <w:pPr>
        <w:pStyle w:val="Paragraphedeliste"/>
        <w:numPr>
          <w:ilvl w:val="0"/>
          <w:numId w:val="2"/>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العلاقات والشراكات العلمية</w:t>
      </w:r>
    </w:p>
    <w:p w:rsidR="00306DBE" w:rsidRDefault="00306DBE" w:rsidP="00306DBE">
      <w:pPr>
        <w:pStyle w:val="Paragraphedeliste"/>
        <w:numPr>
          <w:ilvl w:val="0"/>
          <w:numId w:val="2"/>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 xml:space="preserve">تثمين البحث والابتكار </w:t>
      </w:r>
    </w:p>
    <w:p w:rsidR="00EE4EEF" w:rsidRDefault="00EE4EEF" w:rsidP="00EE4EEF">
      <w:pPr>
        <w:bidi/>
        <w:rPr>
          <w:rFonts w:ascii="Traditional Arabic" w:eastAsia="Calibri" w:hAnsi="Traditional Arabic" w:cs="Traditional Arabic"/>
          <w:sz w:val="28"/>
          <w:szCs w:val="28"/>
          <w:rtl/>
          <w:lang w:bidi="ar-DZ"/>
        </w:rPr>
      </w:pPr>
    </w:p>
    <w:p w:rsidR="00EE4EEF" w:rsidRDefault="00EE4EEF" w:rsidP="00EE4EEF">
      <w:pPr>
        <w:bidi/>
        <w:rPr>
          <w:rFonts w:ascii="Traditional Arabic" w:eastAsia="Calibri" w:hAnsi="Traditional Arabic" w:cs="Traditional Arabic"/>
          <w:sz w:val="28"/>
          <w:szCs w:val="28"/>
          <w:rtl/>
          <w:lang w:bidi="ar-DZ"/>
        </w:rPr>
      </w:pPr>
    </w:p>
    <w:p w:rsidR="00EE4EEF" w:rsidRPr="00EE4EEF" w:rsidRDefault="00EE4EEF" w:rsidP="00EE4EEF">
      <w:pPr>
        <w:bidi/>
        <w:rPr>
          <w:rFonts w:ascii="Traditional Arabic" w:eastAsia="Calibri" w:hAnsi="Traditional Arabic" w:cs="Traditional Arabic"/>
          <w:sz w:val="28"/>
          <w:szCs w:val="28"/>
          <w:lang w:bidi="ar-DZ"/>
        </w:rPr>
      </w:pPr>
    </w:p>
    <w:p w:rsidR="00CB06AD" w:rsidRPr="00CB06AD" w:rsidRDefault="00CB06AD" w:rsidP="001569CF">
      <w:pPr>
        <w:bidi/>
        <w:ind w:left="360"/>
        <w:jc w:val="center"/>
        <w:rPr>
          <w:rFonts w:ascii="Traditional Arabic" w:eastAsia="Calibri" w:hAnsi="Traditional Arabic" w:cs="Traditional Arabic"/>
          <w:b/>
          <w:bCs/>
          <w:sz w:val="28"/>
          <w:szCs w:val="28"/>
          <w:lang w:bidi="ar-DZ"/>
        </w:rPr>
      </w:pPr>
      <w:r w:rsidRPr="00CB06AD">
        <w:rPr>
          <w:rFonts w:ascii="Traditional Arabic" w:eastAsia="Calibri" w:hAnsi="Traditional Arabic" w:cs="Traditional Arabic" w:hint="cs"/>
          <w:b/>
          <w:bCs/>
          <w:sz w:val="28"/>
          <w:szCs w:val="28"/>
          <w:rtl/>
          <w:lang w:bidi="ar-DZ"/>
        </w:rPr>
        <w:lastRenderedPageBreak/>
        <w:t>الجدول (</w:t>
      </w:r>
      <w:r w:rsidR="00DE7B10">
        <w:rPr>
          <w:rFonts w:ascii="Traditional Arabic" w:eastAsia="Calibri" w:hAnsi="Traditional Arabic" w:cs="Traditional Arabic"/>
          <w:b/>
          <w:bCs/>
          <w:sz w:val="28"/>
          <w:szCs w:val="28"/>
          <w:lang w:bidi="ar-DZ"/>
        </w:rPr>
        <w:t>03</w:t>
      </w:r>
      <w:r w:rsidRPr="00CB06AD">
        <w:rPr>
          <w:rFonts w:ascii="Traditional Arabic" w:eastAsia="Calibri" w:hAnsi="Traditional Arabic" w:cs="Traditional Arabic" w:hint="cs"/>
          <w:b/>
          <w:bCs/>
          <w:sz w:val="28"/>
          <w:szCs w:val="28"/>
          <w:rtl/>
          <w:lang w:bidi="ar-DZ"/>
        </w:rPr>
        <w:t>):</w:t>
      </w:r>
      <w:r w:rsidR="00755DF4">
        <w:rPr>
          <w:rFonts w:ascii="Traditional Arabic" w:eastAsia="Calibri" w:hAnsi="Traditional Arabic" w:cs="Traditional Arabic" w:hint="cs"/>
          <w:b/>
          <w:bCs/>
          <w:sz w:val="28"/>
          <w:szCs w:val="28"/>
          <w:rtl/>
          <w:lang w:bidi="ar-DZ"/>
        </w:rPr>
        <w:t xml:space="preserve"> حقول المجال الثاني: البحث والابتكار</w:t>
      </w:r>
    </w:p>
    <w:tbl>
      <w:tblPr>
        <w:tblStyle w:val="Grilledutableau"/>
        <w:bidiVisual/>
        <w:tblW w:w="0" w:type="auto"/>
        <w:tblLook w:val="04A0" w:firstRow="1" w:lastRow="0" w:firstColumn="1" w:lastColumn="0" w:noHBand="0" w:noVBand="1"/>
      </w:tblPr>
      <w:tblGrid>
        <w:gridCol w:w="2265"/>
        <w:gridCol w:w="2265"/>
        <w:gridCol w:w="2266"/>
        <w:gridCol w:w="2266"/>
      </w:tblGrid>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الحقل</w:t>
            </w:r>
          </w:p>
        </w:tc>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المراجع</w:t>
            </w:r>
          </w:p>
        </w:tc>
        <w:tc>
          <w:tcPr>
            <w:tcW w:w="2266"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المعايير</w:t>
            </w:r>
          </w:p>
        </w:tc>
        <w:tc>
          <w:tcPr>
            <w:tcW w:w="2266"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أمثلة على الأدلة</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هيكلة البحث</w:t>
            </w:r>
          </w:p>
        </w:tc>
        <w:tc>
          <w:tcPr>
            <w:tcW w:w="2265"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تحديد سياسة بحث واضحة</w:t>
            </w:r>
          </w:p>
        </w:tc>
        <w:tc>
          <w:tcPr>
            <w:tcW w:w="2266"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تحديد أولويات بحثية وفق المهام المؤسسية</w:t>
            </w:r>
          </w:p>
        </w:tc>
        <w:tc>
          <w:tcPr>
            <w:tcW w:w="2266"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وثائق السياسة البحثية، محاضر ترتيب الأولويات</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الشراكات العلمية</w:t>
            </w:r>
          </w:p>
        </w:tc>
        <w:tc>
          <w:tcPr>
            <w:tcW w:w="2265"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تعزيز العلاقات الوطنية والدولية</w:t>
            </w:r>
          </w:p>
        </w:tc>
        <w:tc>
          <w:tcPr>
            <w:tcW w:w="2266"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وجود اتفاقيات تعاون مع جامعات ومراكز بحث</w:t>
            </w:r>
          </w:p>
        </w:tc>
        <w:tc>
          <w:tcPr>
            <w:tcW w:w="2266" w:type="dxa"/>
          </w:tcPr>
          <w:p w:rsidR="00306DBE" w:rsidRDefault="00306DBE" w:rsidP="00306DBE">
            <w:p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عدد الاتفاقيات المفعلة، الأنشطة المشتركة</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 xml:space="preserve">تثمين البحث والابتكار </w:t>
            </w:r>
          </w:p>
        </w:tc>
        <w:tc>
          <w:tcPr>
            <w:tcW w:w="2265"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دعم براءات الاختراع والابتكار</w:t>
            </w:r>
          </w:p>
        </w:tc>
        <w:tc>
          <w:tcPr>
            <w:tcW w:w="2266"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تطوير آليات لدعم المشاريع الناشئة</w:t>
            </w:r>
          </w:p>
        </w:tc>
        <w:tc>
          <w:tcPr>
            <w:tcW w:w="2266"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قائمة البراءات المودعة، وجود حاضنات جامعية</w:t>
            </w:r>
          </w:p>
        </w:tc>
      </w:tr>
    </w:tbl>
    <w:p w:rsidR="001569CF" w:rsidRPr="001569CF" w:rsidRDefault="001569CF" w:rsidP="001569CF">
      <w:pPr>
        <w:bidi/>
        <w:rPr>
          <w:rFonts w:ascii="Traditional Arabic" w:eastAsia="Calibri" w:hAnsi="Traditional Arabic" w:cs="Traditional Arabic"/>
          <w:sz w:val="28"/>
          <w:szCs w:val="28"/>
        </w:rPr>
      </w:pPr>
      <w:r>
        <w:rPr>
          <w:rFonts w:ascii="Traditional Arabic" w:eastAsia="Calibri" w:hAnsi="Traditional Arabic" w:cs="Traditional Arabic" w:hint="cs"/>
          <w:b/>
          <w:bCs/>
          <w:sz w:val="28"/>
          <w:szCs w:val="28"/>
          <w:rtl/>
          <w:lang w:bidi="ar-DZ"/>
        </w:rPr>
        <w:t xml:space="preserve">المصدر: </w:t>
      </w:r>
      <w:r w:rsidRPr="00F975C5">
        <w:rPr>
          <w:rFonts w:ascii="Traditional Arabic" w:eastAsia="Calibri" w:hAnsi="Traditional Arabic" w:cs="Traditional Arabic" w:hint="cs"/>
          <w:sz w:val="28"/>
          <w:szCs w:val="28"/>
          <w:rtl/>
          <w:lang w:bidi="ar-DZ"/>
        </w:rPr>
        <w:t>من إعداد الباحثة بالاعتماد على ال</w:t>
      </w:r>
      <w:r w:rsidRPr="00F975C5">
        <w:rPr>
          <w:rFonts w:ascii="Traditional Arabic" w:eastAsia="Calibri" w:hAnsi="Traditional Arabic" w:cs="Traditional Arabic" w:hint="cs"/>
          <w:sz w:val="28"/>
          <w:szCs w:val="28"/>
          <w:rtl/>
        </w:rPr>
        <w:t>مرجع الوطني (</w:t>
      </w:r>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p>
    <w:p w:rsidR="004E1C9F" w:rsidRPr="00306DBE" w:rsidRDefault="004E1C9F" w:rsidP="001569CF">
      <w:pPr>
        <w:pStyle w:val="Paragraphedeliste"/>
        <w:numPr>
          <w:ilvl w:val="2"/>
          <w:numId w:val="1"/>
        </w:numPr>
        <w:bidi/>
        <w:rPr>
          <w:rFonts w:ascii="Traditional Arabic" w:eastAsia="Calibri" w:hAnsi="Traditional Arabic" w:cs="Traditional Arabic"/>
          <w:sz w:val="28"/>
          <w:szCs w:val="28"/>
          <w:lang w:bidi="ar-DZ"/>
        </w:rPr>
      </w:pPr>
      <w:r w:rsidRPr="00306DBE">
        <w:rPr>
          <w:rFonts w:ascii="Traditional Arabic" w:eastAsia="Calibri" w:hAnsi="Traditional Arabic" w:cs="Traditional Arabic" w:hint="cs"/>
          <w:b/>
          <w:bCs/>
          <w:sz w:val="28"/>
          <w:szCs w:val="28"/>
          <w:rtl/>
          <w:lang w:bidi="ar-DZ"/>
        </w:rPr>
        <w:t>المجال الثالث:</w:t>
      </w:r>
      <w:r>
        <w:rPr>
          <w:rFonts w:ascii="Traditional Arabic" w:eastAsia="Calibri" w:hAnsi="Traditional Arabic" w:cs="Traditional Arabic" w:hint="cs"/>
          <w:sz w:val="28"/>
          <w:szCs w:val="28"/>
          <w:rtl/>
          <w:lang w:bidi="ar-DZ"/>
        </w:rPr>
        <w:t xml:space="preserve"> </w:t>
      </w:r>
      <w:proofErr w:type="spellStart"/>
      <w:r>
        <w:rPr>
          <w:rFonts w:ascii="Traditional Arabic" w:eastAsia="Calibri" w:hAnsi="Traditional Arabic" w:cs="Traditional Arabic" w:hint="cs"/>
          <w:b/>
          <w:bCs/>
          <w:sz w:val="28"/>
          <w:szCs w:val="28"/>
          <w:rtl/>
        </w:rPr>
        <w:t>الحوكمة</w:t>
      </w:r>
      <w:proofErr w:type="spellEnd"/>
      <w:r>
        <w:rPr>
          <w:rFonts w:ascii="Traditional Arabic" w:eastAsia="Calibri" w:hAnsi="Traditional Arabic" w:cs="Traditional Arabic" w:hint="cs"/>
          <w:b/>
          <w:bCs/>
          <w:sz w:val="28"/>
          <w:szCs w:val="28"/>
          <w:rtl/>
        </w:rPr>
        <w:t xml:space="preserve"> (</w:t>
      </w:r>
      <w:r>
        <w:rPr>
          <w:rFonts w:ascii="Traditional Arabic" w:eastAsia="Calibri" w:hAnsi="Traditional Arabic" w:cs="Traditional Arabic"/>
          <w:b/>
          <w:bCs/>
          <w:sz w:val="28"/>
          <w:szCs w:val="28"/>
        </w:rPr>
        <w:t>Gouvernance</w:t>
      </w:r>
      <w:r>
        <w:rPr>
          <w:rFonts w:ascii="Traditional Arabic" w:eastAsia="Calibri" w:hAnsi="Traditional Arabic" w:cs="Traditional Arabic" w:hint="cs"/>
          <w:b/>
          <w:bCs/>
          <w:sz w:val="28"/>
          <w:szCs w:val="28"/>
          <w:rtl/>
        </w:rPr>
        <w:t>)</w:t>
      </w:r>
    </w:p>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يعد هذا المجال العمود الفقري لنظام ضمان الجودة، إذ يركز على آليات التخطيط الاستراتيجي، إدارة الموارد البشرية والمادية، ونظم المعلومات والشفافية.</w:t>
      </w:r>
    </w:p>
    <w:p w:rsidR="00CB06AD" w:rsidRPr="00CB06AD" w:rsidRDefault="00CB06AD" w:rsidP="00CB06AD">
      <w:pPr>
        <w:bidi/>
        <w:jc w:val="center"/>
        <w:rPr>
          <w:rFonts w:ascii="Traditional Arabic" w:eastAsia="Calibri" w:hAnsi="Traditional Arabic" w:cs="Traditional Arabic"/>
          <w:b/>
          <w:bCs/>
          <w:sz w:val="28"/>
          <w:szCs w:val="28"/>
          <w:lang w:bidi="ar-DZ"/>
        </w:rPr>
      </w:pPr>
      <w:r>
        <w:rPr>
          <w:rFonts w:ascii="Traditional Arabic" w:eastAsia="Calibri" w:hAnsi="Traditional Arabic" w:cs="Traditional Arabic" w:hint="cs"/>
          <w:b/>
          <w:bCs/>
          <w:sz w:val="28"/>
          <w:szCs w:val="28"/>
          <w:rtl/>
          <w:lang w:bidi="ar-DZ"/>
        </w:rPr>
        <w:t>الجدول (</w:t>
      </w:r>
      <w:r w:rsidR="001569CF">
        <w:rPr>
          <w:rFonts w:ascii="Traditional Arabic" w:eastAsia="Calibri" w:hAnsi="Traditional Arabic" w:cs="Traditional Arabic"/>
          <w:b/>
          <w:bCs/>
          <w:sz w:val="28"/>
          <w:szCs w:val="28"/>
          <w:lang w:bidi="ar-DZ"/>
        </w:rPr>
        <w:t>04</w:t>
      </w:r>
      <w:r>
        <w:rPr>
          <w:rFonts w:ascii="Traditional Arabic" w:eastAsia="Calibri" w:hAnsi="Traditional Arabic" w:cs="Traditional Arabic" w:hint="cs"/>
          <w:b/>
          <w:bCs/>
          <w:sz w:val="28"/>
          <w:szCs w:val="28"/>
          <w:rtl/>
          <w:lang w:bidi="ar-DZ"/>
        </w:rPr>
        <w:t>):</w:t>
      </w:r>
      <w:r w:rsidR="00A569EE">
        <w:rPr>
          <w:rFonts w:ascii="Traditional Arabic" w:eastAsia="Calibri" w:hAnsi="Traditional Arabic" w:cs="Traditional Arabic"/>
          <w:b/>
          <w:bCs/>
          <w:sz w:val="28"/>
          <w:szCs w:val="28"/>
          <w:lang w:bidi="ar-DZ"/>
        </w:rPr>
        <w:t xml:space="preserve"> </w:t>
      </w:r>
      <w:r w:rsidR="00755DF4">
        <w:rPr>
          <w:rFonts w:ascii="Traditional Arabic" w:eastAsia="Calibri" w:hAnsi="Traditional Arabic" w:cs="Traditional Arabic" w:hint="cs"/>
          <w:b/>
          <w:bCs/>
          <w:sz w:val="28"/>
          <w:szCs w:val="28"/>
          <w:rtl/>
          <w:lang w:bidi="ar-DZ"/>
        </w:rPr>
        <w:t xml:space="preserve">حقول المجال الثالث: </w:t>
      </w:r>
      <w:proofErr w:type="spellStart"/>
      <w:r w:rsidR="00755DF4">
        <w:rPr>
          <w:rFonts w:ascii="Traditional Arabic" w:eastAsia="Calibri" w:hAnsi="Traditional Arabic" w:cs="Traditional Arabic" w:hint="cs"/>
          <w:b/>
          <w:bCs/>
          <w:sz w:val="28"/>
          <w:szCs w:val="28"/>
          <w:rtl/>
          <w:lang w:bidi="ar-DZ"/>
        </w:rPr>
        <w:t>الحوكمة</w:t>
      </w:r>
      <w:proofErr w:type="spellEnd"/>
    </w:p>
    <w:tbl>
      <w:tblPr>
        <w:tblStyle w:val="Grilledutableau"/>
        <w:bidiVisual/>
        <w:tblW w:w="0" w:type="auto"/>
        <w:tblLook w:val="04A0" w:firstRow="1" w:lastRow="0" w:firstColumn="1" w:lastColumn="0" w:noHBand="0" w:noVBand="1"/>
      </w:tblPr>
      <w:tblGrid>
        <w:gridCol w:w="2265"/>
        <w:gridCol w:w="2265"/>
        <w:gridCol w:w="2266"/>
        <w:gridCol w:w="2266"/>
      </w:tblGrid>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الحقل</w:t>
            </w:r>
          </w:p>
        </w:tc>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المراجع</w:t>
            </w:r>
          </w:p>
        </w:tc>
        <w:tc>
          <w:tcPr>
            <w:tcW w:w="2266"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المعايير</w:t>
            </w:r>
          </w:p>
        </w:tc>
        <w:tc>
          <w:tcPr>
            <w:tcW w:w="2266"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أمثلة على الأدلة</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نظام المعلومات</w:t>
            </w:r>
          </w:p>
        </w:tc>
        <w:tc>
          <w:tcPr>
            <w:tcW w:w="2265"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تطوير نظم معلومات فعالة</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اعتماد منصات رقمية لإدارة الموارد</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تقارير أداء النظام، عدد المستخدمين الفعليين</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وضع السياسات</w:t>
            </w:r>
          </w:p>
        </w:tc>
        <w:tc>
          <w:tcPr>
            <w:tcW w:w="2265"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صياغة سياسة مؤسسية مكتوبة</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وجود سياسات تخص الجودة والبحث</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الوثائق الرسمية المعتمدة، نشر السياسات على الموقع</w:t>
            </w:r>
          </w:p>
        </w:tc>
      </w:tr>
      <w:tr w:rsidR="00306DBE" w:rsidTr="00306DBE">
        <w:tc>
          <w:tcPr>
            <w:tcW w:w="2265" w:type="dxa"/>
          </w:tcPr>
          <w:p w:rsidR="00306DBE" w:rsidRPr="00D87210" w:rsidRDefault="00306DBE" w:rsidP="00306DBE">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إدارة الموارد البشرية</w:t>
            </w:r>
          </w:p>
        </w:tc>
        <w:tc>
          <w:tcPr>
            <w:tcW w:w="2265" w:type="dxa"/>
          </w:tcPr>
          <w:p w:rsidR="00306DBE" w:rsidRDefault="00306DBE"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تطوير الموارد البشرية</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خطط تكوين دورية للأساتذة والإداريين</w:t>
            </w:r>
          </w:p>
        </w:tc>
        <w:tc>
          <w:tcPr>
            <w:tcW w:w="2266" w:type="dxa"/>
          </w:tcPr>
          <w:p w:rsidR="00306DBE" w:rsidRDefault="00D87210" w:rsidP="00306DBE">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نسب المشاركة في الدورات التكوينية، تقارير الأداء</w:t>
            </w:r>
          </w:p>
        </w:tc>
      </w:tr>
    </w:tbl>
    <w:p w:rsidR="001569CF" w:rsidRDefault="001569CF" w:rsidP="001569CF">
      <w:pPr>
        <w:bidi/>
        <w:rPr>
          <w:rFonts w:ascii="Traditional Arabic" w:eastAsia="Calibri" w:hAnsi="Traditional Arabic" w:cs="Traditional Arabic"/>
          <w:sz w:val="28"/>
          <w:szCs w:val="28"/>
          <w:rtl/>
        </w:rPr>
      </w:pPr>
      <w:r>
        <w:rPr>
          <w:rFonts w:ascii="Traditional Arabic" w:eastAsia="Calibri" w:hAnsi="Traditional Arabic" w:cs="Traditional Arabic" w:hint="cs"/>
          <w:b/>
          <w:bCs/>
          <w:sz w:val="28"/>
          <w:szCs w:val="28"/>
          <w:rtl/>
          <w:lang w:bidi="ar-DZ"/>
        </w:rPr>
        <w:t xml:space="preserve">المصدر: </w:t>
      </w:r>
      <w:r w:rsidRPr="00F975C5">
        <w:rPr>
          <w:rFonts w:ascii="Traditional Arabic" w:eastAsia="Calibri" w:hAnsi="Traditional Arabic" w:cs="Traditional Arabic" w:hint="cs"/>
          <w:sz w:val="28"/>
          <w:szCs w:val="28"/>
          <w:rtl/>
          <w:lang w:bidi="ar-DZ"/>
        </w:rPr>
        <w:t>من إعداد الباحثة بالاعتماد على ال</w:t>
      </w:r>
      <w:r w:rsidRPr="00F975C5">
        <w:rPr>
          <w:rFonts w:ascii="Traditional Arabic" w:eastAsia="Calibri" w:hAnsi="Traditional Arabic" w:cs="Traditional Arabic" w:hint="cs"/>
          <w:sz w:val="28"/>
          <w:szCs w:val="28"/>
          <w:rtl/>
        </w:rPr>
        <w:t>مرجع الوطني (</w:t>
      </w:r>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p>
    <w:p w:rsidR="00B2256E" w:rsidRPr="001569CF" w:rsidRDefault="00B2256E" w:rsidP="00B2256E">
      <w:pPr>
        <w:bidi/>
        <w:rPr>
          <w:rFonts w:ascii="Traditional Arabic" w:eastAsia="Calibri" w:hAnsi="Traditional Arabic" w:cs="Traditional Arabic"/>
          <w:sz w:val="28"/>
          <w:szCs w:val="28"/>
        </w:rPr>
      </w:pPr>
    </w:p>
    <w:p w:rsidR="004E1C9F" w:rsidRPr="00D87210" w:rsidRDefault="004E1C9F" w:rsidP="001569CF">
      <w:pPr>
        <w:pStyle w:val="Paragraphedeliste"/>
        <w:numPr>
          <w:ilvl w:val="2"/>
          <w:numId w:val="1"/>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b/>
          <w:bCs/>
          <w:sz w:val="28"/>
          <w:szCs w:val="28"/>
          <w:rtl/>
        </w:rPr>
        <w:lastRenderedPageBreak/>
        <w:t>المجال الرابع: الحياة الجامعية (</w:t>
      </w:r>
      <w:r>
        <w:rPr>
          <w:rFonts w:ascii="Traditional Arabic" w:eastAsia="Calibri" w:hAnsi="Traditional Arabic" w:cs="Traditional Arabic"/>
          <w:b/>
          <w:bCs/>
          <w:sz w:val="28"/>
          <w:szCs w:val="28"/>
        </w:rPr>
        <w:t>Vie dans les EESRS</w:t>
      </w:r>
      <w:r>
        <w:rPr>
          <w:rFonts w:ascii="Traditional Arabic" w:eastAsia="Calibri" w:hAnsi="Traditional Arabic" w:cs="Traditional Arabic" w:hint="cs"/>
          <w:b/>
          <w:bCs/>
          <w:sz w:val="28"/>
          <w:szCs w:val="28"/>
          <w:rtl/>
        </w:rPr>
        <w:t>)</w:t>
      </w:r>
    </w:p>
    <w:p w:rsidR="00D87210" w:rsidRPr="00D87210" w:rsidRDefault="00D87210" w:rsidP="00D87210">
      <w:p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تحسين جودة الحياة داخل الحرم الجامعي للطلبة والأساتذة والموظفين</w:t>
      </w:r>
    </w:p>
    <w:p w:rsidR="004E1C9F" w:rsidRPr="00D87210" w:rsidRDefault="004E1C9F" w:rsidP="004E1C9F">
      <w:pPr>
        <w:pStyle w:val="Paragraphedeliste"/>
        <w:numPr>
          <w:ilvl w:val="2"/>
          <w:numId w:val="1"/>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b/>
          <w:bCs/>
          <w:sz w:val="28"/>
          <w:szCs w:val="28"/>
          <w:rtl/>
        </w:rPr>
        <w:t>المجال الخامس: البنى التحتية (</w:t>
      </w:r>
      <w:r>
        <w:rPr>
          <w:rFonts w:ascii="Traditional Arabic" w:eastAsia="Calibri" w:hAnsi="Traditional Arabic" w:cs="Traditional Arabic"/>
          <w:b/>
          <w:bCs/>
          <w:sz w:val="28"/>
          <w:szCs w:val="28"/>
        </w:rPr>
        <w:t>Infrastructures</w:t>
      </w:r>
      <w:r>
        <w:rPr>
          <w:rFonts w:ascii="Traditional Arabic" w:eastAsia="Calibri" w:hAnsi="Traditional Arabic" w:cs="Traditional Arabic" w:hint="cs"/>
          <w:b/>
          <w:bCs/>
          <w:sz w:val="28"/>
          <w:szCs w:val="28"/>
          <w:rtl/>
        </w:rPr>
        <w:t>)</w:t>
      </w:r>
    </w:p>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 xml:space="preserve">ضمان توفير البنية التحتية الأكاديمية والبحثية الملائمة للتعليم والبحث </w:t>
      </w:r>
    </w:p>
    <w:p w:rsidR="00CB06AD" w:rsidRPr="00CB06AD" w:rsidRDefault="00CB06AD" w:rsidP="00CB06AD">
      <w:pPr>
        <w:bidi/>
        <w:jc w:val="center"/>
        <w:rPr>
          <w:rFonts w:ascii="Traditional Arabic" w:eastAsia="Calibri" w:hAnsi="Traditional Arabic" w:cs="Traditional Arabic"/>
          <w:b/>
          <w:bCs/>
          <w:sz w:val="28"/>
          <w:szCs w:val="28"/>
          <w:rtl/>
          <w:lang w:bidi="ar-DZ"/>
        </w:rPr>
      </w:pPr>
      <w:r>
        <w:rPr>
          <w:rFonts w:ascii="Traditional Arabic" w:eastAsia="Calibri" w:hAnsi="Traditional Arabic" w:cs="Traditional Arabic" w:hint="cs"/>
          <w:b/>
          <w:bCs/>
          <w:sz w:val="28"/>
          <w:szCs w:val="28"/>
          <w:rtl/>
          <w:lang w:bidi="ar-DZ"/>
        </w:rPr>
        <w:t>الجدول (</w:t>
      </w:r>
      <w:r w:rsidR="001569CF">
        <w:rPr>
          <w:rFonts w:ascii="Traditional Arabic" w:eastAsia="Calibri" w:hAnsi="Traditional Arabic" w:cs="Traditional Arabic"/>
          <w:b/>
          <w:bCs/>
          <w:sz w:val="28"/>
          <w:szCs w:val="28"/>
          <w:lang w:bidi="ar-DZ"/>
        </w:rPr>
        <w:t>05</w:t>
      </w:r>
      <w:r>
        <w:rPr>
          <w:rFonts w:ascii="Traditional Arabic" w:eastAsia="Calibri" w:hAnsi="Traditional Arabic" w:cs="Traditional Arabic" w:hint="cs"/>
          <w:b/>
          <w:bCs/>
          <w:sz w:val="28"/>
          <w:szCs w:val="28"/>
          <w:rtl/>
          <w:lang w:bidi="ar-DZ"/>
        </w:rPr>
        <w:t>):</w:t>
      </w:r>
      <w:r w:rsidR="00755DF4">
        <w:rPr>
          <w:rFonts w:ascii="Traditional Arabic" w:eastAsia="Calibri" w:hAnsi="Traditional Arabic" w:cs="Traditional Arabic" w:hint="cs"/>
          <w:b/>
          <w:bCs/>
          <w:sz w:val="28"/>
          <w:szCs w:val="28"/>
          <w:rtl/>
          <w:lang w:bidi="ar-DZ"/>
        </w:rPr>
        <w:t xml:space="preserve"> حقول المجال الخامس: البنى التحتية</w:t>
      </w:r>
    </w:p>
    <w:tbl>
      <w:tblPr>
        <w:tblStyle w:val="Grilledutableau"/>
        <w:bidiVisual/>
        <w:tblW w:w="0" w:type="auto"/>
        <w:tblLook w:val="04A0" w:firstRow="1" w:lastRow="0" w:firstColumn="1" w:lastColumn="0" w:noHBand="0" w:noVBand="1"/>
      </w:tblPr>
      <w:tblGrid>
        <w:gridCol w:w="2265"/>
        <w:gridCol w:w="2265"/>
        <w:gridCol w:w="2266"/>
        <w:gridCol w:w="2266"/>
      </w:tblGrid>
      <w:tr w:rsidR="00D87210" w:rsidTr="00D87210">
        <w:tc>
          <w:tcPr>
            <w:tcW w:w="2265" w:type="dxa"/>
          </w:tcPr>
          <w:p w:rsidR="00D87210" w:rsidRPr="00D87210" w:rsidRDefault="00D87210" w:rsidP="00D87210">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الحقل</w:t>
            </w:r>
          </w:p>
        </w:tc>
        <w:tc>
          <w:tcPr>
            <w:tcW w:w="2265" w:type="dxa"/>
          </w:tcPr>
          <w:p w:rsidR="00D87210" w:rsidRPr="00D87210" w:rsidRDefault="00D87210" w:rsidP="00D87210">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المراجع</w:t>
            </w:r>
          </w:p>
        </w:tc>
        <w:tc>
          <w:tcPr>
            <w:tcW w:w="2266" w:type="dxa"/>
          </w:tcPr>
          <w:p w:rsidR="00D87210" w:rsidRPr="00D87210" w:rsidRDefault="00D87210" w:rsidP="00D87210">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المعايير</w:t>
            </w:r>
          </w:p>
        </w:tc>
        <w:tc>
          <w:tcPr>
            <w:tcW w:w="2266" w:type="dxa"/>
          </w:tcPr>
          <w:p w:rsidR="00D87210" w:rsidRPr="00D87210" w:rsidRDefault="00D87210" w:rsidP="00D87210">
            <w:pPr>
              <w:bidi/>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أمثلة على الأدلة</w:t>
            </w:r>
          </w:p>
        </w:tc>
      </w:tr>
      <w:tr w:rsidR="00D87210" w:rsidTr="00D87210">
        <w:tc>
          <w:tcPr>
            <w:tcW w:w="2265" w:type="dxa"/>
          </w:tcPr>
          <w:p w:rsidR="00D87210" w:rsidRPr="008A32B8" w:rsidRDefault="00D87210" w:rsidP="00D87210">
            <w:pPr>
              <w:bidi/>
              <w:rPr>
                <w:rFonts w:ascii="Traditional Arabic" w:eastAsia="Calibri" w:hAnsi="Traditional Arabic" w:cs="Traditional Arabic"/>
                <w:b/>
                <w:bCs/>
                <w:sz w:val="28"/>
                <w:szCs w:val="28"/>
                <w:rtl/>
                <w:lang w:bidi="ar-DZ"/>
              </w:rPr>
            </w:pPr>
            <w:r w:rsidRPr="008A32B8">
              <w:rPr>
                <w:rFonts w:ascii="Traditional Arabic" w:eastAsia="Calibri" w:hAnsi="Traditional Arabic" w:cs="Traditional Arabic" w:hint="cs"/>
                <w:b/>
                <w:bCs/>
                <w:sz w:val="28"/>
                <w:szCs w:val="28"/>
                <w:rtl/>
                <w:lang w:bidi="ar-DZ"/>
              </w:rPr>
              <w:t>البنية الإدارية</w:t>
            </w:r>
          </w:p>
        </w:tc>
        <w:tc>
          <w:tcPr>
            <w:tcW w:w="2265"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ملاءمة الهياكل الإدارية</w:t>
            </w:r>
          </w:p>
        </w:tc>
        <w:tc>
          <w:tcPr>
            <w:tcW w:w="2266"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توفر مكاتب وأدوات عم ملائمة</w:t>
            </w:r>
          </w:p>
        </w:tc>
        <w:tc>
          <w:tcPr>
            <w:tcW w:w="2266"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مخططات المباني، تقرير الصيانة</w:t>
            </w:r>
          </w:p>
        </w:tc>
      </w:tr>
      <w:tr w:rsidR="00D87210" w:rsidTr="00D87210">
        <w:tc>
          <w:tcPr>
            <w:tcW w:w="2265" w:type="dxa"/>
          </w:tcPr>
          <w:p w:rsidR="00D87210" w:rsidRPr="008A32B8" w:rsidRDefault="00D87210" w:rsidP="00D87210">
            <w:pPr>
              <w:bidi/>
              <w:rPr>
                <w:rFonts w:ascii="Traditional Arabic" w:eastAsia="Calibri" w:hAnsi="Traditional Arabic" w:cs="Traditional Arabic"/>
                <w:b/>
                <w:bCs/>
                <w:sz w:val="28"/>
                <w:szCs w:val="28"/>
                <w:rtl/>
                <w:lang w:bidi="ar-DZ"/>
              </w:rPr>
            </w:pPr>
            <w:r w:rsidRPr="008A32B8">
              <w:rPr>
                <w:rFonts w:ascii="Traditional Arabic" w:eastAsia="Calibri" w:hAnsi="Traditional Arabic" w:cs="Traditional Arabic" w:hint="cs"/>
                <w:b/>
                <w:bCs/>
                <w:sz w:val="28"/>
                <w:szCs w:val="28"/>
                <w:rtl/>
                <w:lang w:bidi="ar-DZ"/>
              </w:rPr>
              <w:t>البنية البيداغوجية</w:t>
            </w:r>
          </w:p>
        </w:tc>
        <w:tc>
          <w:tcPr>
            <w:tcW w:w="2265"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تجهيز القاعات والمخابر</w:t>
            </w:r>
          </w:p>
        </w:tc>
        <w:tc>
          <w:tcPr>
            <w:tcW w:w="2266"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توفر الوسائل الحديثة للتدريس</w:t>
            </w:r>
          </w:p>
        </w:tc>
        <w:tc>
          <w:tcPr>
            <w:tcW w:w="2266" w:type="dxa"/>
          </w:tcPr>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نسبة القاعات المجهزة رقميا، وجود مخابر عملية نشطة</w:t>
            </w:r>
          </w:p>
        </w:tc>
      </w:tr>
    </w:tbl>
    <w:p w:rsidR="001569CF" w:rsidRPr="001569CF" w:rsidRDefault="001569CF" w:rsidP="001569CF">
      <w:pPr>
        <w:bidi/>
        <w:rPr>
          <w:rFonts w:ascii="Traditional Arabic" w:eastAsia="Calibri" w:hAnsi="Traditional Arabic" w:cs="Traditional Arabic"/>
          <w:sz w:val="28"/>
          <w:szCs w:val="28"/>
        </w:rPr>
      </w:pPr>
      <w:r>
        <w:rPr>
          <w:rFonts w:ascii="Traditional Arabic" w:eastAsia="Calibri" w:hAnsi="Traditional Arabic" w:cs="Traditional Arabic" w:hint="cs"/>
          <w:b/>
          <w:bCs/>
          <w:sz w:val="28"/>
          <w:szCs w:val="28"/>
          <w:rtl/>
          <w:lang w:bidi="ar-DZ"/>
        </w:rPr>
        <w:t xml:space="preserve">المصدر: </w:t>
      </w:r>
      <w:r>
        <w:rPr>
          <w:rFonts w:ascii="Traditional Arabic" w:eastAsia="Calibri" w:hAnsi="Traditional Arabic" w:cs="Traditional Arabic" w:hint="cs"/>
          <w:sz w:val="28"/>
          <w:szCs w:val="28"/>
          <w:rtl/>
          <w:lang w:bidi="ar-DZ"/>
        </w:rPr>
        <w:t>من إعداد الباحثتين</w:t>
      </w:r>
      <w:r w:rsidRPr="00F975C5">
        <w:rPr>
          <w:rFonts w:ascii="Traditional Arabic" w:eastAsia="Calibri" w:hAnsi="Traditional Arabic" w:cs="Traditional Arabic" w:hint="cs"/>
          <w:sz w:val="28"/>
          <w:szCs w:val="28"/>
          <w:rtl/>
          <w:lang w:bidi="ar-DZ"/>
        </w:rPr>
        <w:t xml:space="preserve"> بالاعتماد على ال</w:t>
      </w:r>
      <w:r w:rsidRPr="00F975C5">
        <w:rPr>
          <w:rFonts w:ascii="Traditional Arabic" w:eastAsia="Calibri" w:hAnsi="Traditional Arabic" w:cs="Traditional Arabic" w:hint="cs"/>
          <w:sz w:val="28"/>
          <w:szCs w:val="28"/>
          <w:rtl/>
        </w:rPr>
        <w:t>مرجع الوطني (</w:t>
      </w:r>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p>
    <w:p w:rsidR="004E1C9F" w:rsidRPr="00D87210" w:rsidRDefault="004E1C9F" w:rsidP="001569CF">
      <w:pPr>
        <w:pStyle w:val="Paragraphedeliste"/>
        <w:numPr>
          <w:ilvl w:val="2"/>
          <w:numId w:val="1"/>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b/>
          <w:bCs/>
          <w:sz w:val="28"/>
          <w:szCs w:val="28"/>
          <w:rtl/>
        </w:rPr>
        <w:t>المجال السادس: العلاقات مع المحيط الاقتصادي والاجتماعي (</w:t>
      </w:r>
      <w:r>
        <w:rPr>
          <w:rFonts w:ascii="Traditional Arabic" w:eastAsia="Calibri" w:hAnsi="Traditional Arabic" w:cs="Traditional Arabic"/>
          <w:b/>
          <w:bCs/>
          <w:sz w:val="28"/>
          <w:szCs w:val="28"/>
        </w:rPr>
        <w:t>Relations ESE</w:t>
      </w:r>
      <w:r>
        <w:rPr>
          <w:rFonts w:ascii="Traditional Arabic" w:eastAsia="Calibri" w:hAnsi="Traditional Arabic" w:cs="Traditional Arabic" w:hint="cs"/>
          <w:b/>
          <w:bCs/>
          <w:sz w:val="28"/>
          <w:szCs w:val="28"/>
          <w:rtl/>
        </w:rPr>
        <w:t>)</w:t>
      </w:r>
    </w:p>
    <w:p w:rsidR="00D87210" w:rsidRPr="00D87210" w:rsidRDefault="008A32B8" w:rsidP="00D87210">
      <w:p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 ويتم التركيز على تطوير الشراكات مع القطاعات المنتجة العامة والخاصة ومؤسسات المجتمع المدني.</w:t>
      </w:r>
    </w:p>
    <w:p w:rsidR="004E1C9F" w:rsidRPr="00D87210" w:rsidRDefault="004E1C9F" w:rsidP="004E1C9F">
      <w:pPr>
        <w:pStyle w:val="Paragraphedeliste"/>
        <w:numPr>
          <w:ilvl w:val="2"/>
          <w:numId w:val="1"/>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b/>
          <w:bCs/>
          <w:sz w:val="28"/>
          <w:szCs w:val="28"/>
          <w:rtl/>
        </w:rPr>
        <w:t>المجال السابع: التعاون الدولي (</w:t>
      </w:r>
      <w:r>
        <w:rPr>
          <w:rFonts w:ascii="Traditional Arabic" w:eastAsia="Calibri" w:hAnsi="Traditional Arabic" w:cs="Traditional Arabic"/>
          <w:b/>
          <w:bCs/>
          <w:sz w:val="28"/>
          <w:szCs w:val="28"/>
        </w:rPr>
        <w:t>Coopération Internationale</w:t>
      </w:r>
      <w:r>
        <w:rPr>
          <w:rFonts w:ascii="Traditional Arabic" w:eastAsia="Calibri" w:hAnsi="Traditional Arabic" w:cs="Traditional Arabic" w:hint="cs"/>
          <w:b/>
          <w:bCs/>
          <w:sz w:val="28"/>
          <w:szCs w:val="28"/>
          <w:rtl/>
        </w:rPr>
        <w:t>)</w:t>
      </w:r>
    </w:p>
    <w:p w:rsidR="00D87210" w:rsidRPr="00D87210" w:rsidRDefault="008A32B8" w:rsidP="00D87210">
      <w:pPr>
        <w:bidi/>
        <w:rPr>
          <w:rFonts w:ascii="Traditional Arabic" w:eastAsia="Calibri" w:hAnsi="Traditional Arabic" w:cs="Traditional Arabic"/>
          <w:sz w:val="28"/>
          <w:szCs w:val="28"/>
          <w:lang w:bidi="ar-DZ"/>
        </w:rPr>
      </w:pPr>
      <w:r>
        <w:rPr>
          <w:rFonts w:ascii="Traditional Arabic" w:eastAsia="Calibri" w:hAnsi="Traditional Arabic" w:cs="Traditional Arabic" w:hint="cs"/>
          <w:sz w:val="28"/>
          <w:szCs w:val="28"/>
          <w:rtl/>
          <w:lang w:bidi="ar-DZ"/>
        </w:rPr>
        <w:t xml:space="preserve">يسعى إلى رفع القدرة التنافسية للجامعات الجزائرية عبر </w:t>
      </w:r>
      <w:r w:rsidR="00D87210">
        <w:rPr>
          <w:rFonts w:ascii="Traditional Arabic" w:eastAsia="Calibri" w:hAnsi="Traditional Arabic" w:cs="Traditional Arabic" w:hint="cs"/>
          <w:sz w:val="28"/>
          <w:szCs w:val="28"/>
          <w:rtl/>
          <w:lang w:bidi="ar-DZ"/>
        </w:rPr>
        <w:t>الانفتاح على الشركاء الدوليين واستقطاب الطلبة الأجانب</w:t>
      </w:r>
      <w:r>
        <w:rPr>
          <w:rFonts w:ascii="Traditional Arabic" w:eastAsia="Calibri" w:hAnsi="Traditional Arabic" w:cs="Traditional Arabic" w:hint="cs"/>
          <w:sz w:val="28"/>
          <w:szCs w:val="28"/>
          <w:rtl/>
          <w:lang w:bidi="ar-DZ"/>
        </w:rPr>
        <w:t>.</w:t>
      </w:r>
    </w:p>
    <w:p w:rsidR="004E1C9F" w:rsidRPr="00D87210" w:rsidRDefault="004E1C9F" w:rsidP="004E1C9F">
      <w:pPr>
        <w:pStyle w:val="Paragraphedeliste"/>
        <w:numPr>
          <w:ilvl w:val="2"/>
          <w:numId w:val="1"/>
        </w:numPr>
        <w:bidi/>
        <w:rPr>
          <w:rFonts w:ascii="Traditional Arabic" w:eastAsia="Calibri" w:hAnsi="Traditional Arabic" w:cs="Traditional Arabic"/>
          <w:sz w:val="28"/>
          <w:szCs w:val="28"/>
          <w:lang w:bidi="ar-DZ"/>
        </w:rPr>
      </w:pPr>
      <w:r>
        <w:rPr>
          <w:rFonts w:ascii="Traditional Arabic" w:eastAsia="Calibri" w:hAnsi="Traditional Arabic" w:cs="Traditional Arabic" w:hint="cs"/>
          <w:b/>
          <w:bCs/>
          <w:sz w:val="28"/>
          <w:szCs w:val="28"/>
          <w:rtl/>
        </w:rPr>
        <w:t>المجال الثامن: المسؤولية المجتمعية والتنمية المستدامة (</w:t>
      </w:r>
      <w:r>
        <w:rPr>
          <w:rFonts w:ascii="Traditional Arabic" w:eastAsia="Calibri" w:hAnsi="Traditional Arabic" w:cs="Traditional Arabic"/>
          <w:b/>
          <w:bCs/>
          <w:sz w:val="28"/>
          <w:szCs w:val="28"/>
        </w:rPr>
        <w:t>RSU et DD</w:t>
      </w:r>
      <w:r>
        <w:rPr>
          <w:rFonts w:ascii="Traditional Arabic" w:eastAsia="Calibri" w:hAnsi="Traditional Arabic" w:cs="Traditional Arabic" w:hint="cs"/>
          <w:b/>
          <w:bCs/>
          <w:sz w:val="28"/>
          <w:szCs w:val="28"/>
          <w:rtl/>
        </w:rPr>
        <w:t>)</w:t>
      </w:r>
    </w:p>
    <w:p w:rsidR="00D87210" w:rsidRDefault="00D87210" w:rsidP="00D87210">
      <w:pPr>
        <w:bidi/>
        <w:rPr>
          <w:rFonts w:ascii="Traditional Arabic" w:eastAsia="Calibri" w:hAnsi="Traditional Arabic" w:cs="Traditional Arabic"/>
          <w:sz w:val="28"/>
          <w:szCs w:val="28"/>
          <w:rtl/>
          <w:lang w:bidi="ar-DZ"/>
        </w:rPr>
      </w:pPr>
      <w:r>
        <w:rPr>
          <w:rFonts w:ascii="Traditional Arabic" w:eastAsia="Calibri" w:hAnsi="Traditional Arabic" w:cs="Traditional Arabic" w:hint="cs"/>
          <w:sz w:val="28"/>
          <w:szCs w:val="28"/>
          <w:rtl/>
          <w:lang w:bidi="ar-DZ"/>
        </w:rPr>
        <w:t>إدماج البعد البيئي والاجتماعي ضمن</w:t>
      </w:r>
      <w:r w:rsidR="008A32B8">
        <w:rPr>
          <w:rFonts w:ascii="Traditional Arabic" w:eastAsia="Calibri" w:hAnsi="Traditional Arabic" w:cs="Traditional Arabic" w:hint="cs"/>
          <w:sz w:val="28"/>
          <w:szCs w:val="28"/>
          <w:rtl/>
          <w:lang w:bidi="ar-DZ"/>
        </w:rPr>
        <w:t xml:space="preserve"> جميع</w:t>
      </w:r>
      <w:r>
        <w:rPr>
          <w:rFonts w:ascii="Traditional Arabic" w:eastAsia="Calibri" w:hAnsi="Traditional Arabic" w:cs="Traditional Arabic" w:hint="cs"/>
          <w:sz w:val="28"/>
          <w:szCs w:val="28"/>
          <w:rtl/>
          <w:lang w:bidi="ar-DZ"/>
        </w:rPr>
        <w:t xml:space="preserve"> الا</w:t>
      </w:r>
      <w:r w:rsidR="008A32B8">
        <w:rPr>
          <w:rFonts w:ascii="Traditional Arabic" w:eastAsia="Calibri" w:hAnsi="Traditional Arabic" w:cs="Traditional Arabic" w:hint="cs"/>
          <w:sz w:val="28"/>
          <w:szCs w:val="28"/>
          <w:rtl/>
          <w:lang w:bidi="ar-DZ"/>
        </w:rPr>
        <w:t xml:space="preserve">ستراتيجيات والسياسات </w:t>
      </w:r>
      <w:r>
        <w:rPr>
          <w:rFonts w:ascii="Traditional Arabic" w:eastAsia="Calibri" w:hAnsi="Traditional Arabic" w:cs="Traditional Arabic" w:hint="cs"/>
          <w:sz w:val="28"/>
          <w:szCs w:val="28"/>
          <w:rtl/>
          <w:lang w:bidi="ar-DZ"/>
        </w:rPr>
        <w:t>المؤسسية</w:t>
      </w:r>
      <w:r w:rsidR="008A32B8">
        <w:rPr>
          <w:rFonts w:ascii="Traditional Arabic" w:eastAsia="Calibri" w:hAnsi="Traditional Arabic" w:cs="Traditional Arabic" w:hint="cs"/>
          <w:sz w:val="28"/>
          <w:szCs w:val="28"/>
          <w:rtl/>
          <w:lang w:bidi="ar-DZ"/>
        </w:rPr>
        <w:t>.</w:t>
      </w:r>
    </w:p>
    <w:p w:rsidR="00B2256E" w:rsidRDefault="00B2256E" w:rsidP="001569CF">
      <w:pPr>
        <w:bidi/>
        <w:jc w:val="center"/>
        <w:rPr>
          <w:rFonts w:ascii="Traditional Arabic" w:eastAsia="Calibri" w:hAnsi="Traditional Arabic" w:cs="Traditional Arabic"/>
          <w:b/>
          <w:bCs/>
          <w:sz w:val="28"/>
          <w:szCs w:val="28"/>
          <w:rtl/>
          <w:lang w:bidi="ar-DZ"/>
        </w:rPr>
      </w:pPr>
    </w:p>
    <w:p w:rsidR="00B2256E" w:rsidRDefault="00B2256E" w:rsidP="00B2256E">
      <w:pPr>
        <w:bidi/>
        <w:jc w:val="center"/>
        <w:rPr>
          <w:rFonts w:ascii="Traditional Arabic" w:eastAsia="Calibri" w:hAnsi="Traditional Arabic" w:cs="Traditional Arabic"/>
          <w:b/>
          <w:bCs/>
          <w:sz w:val="28"/>
          <w:szCs w:val="28"/>
          <w:rtl/>
          <w:lang w:bidi="ar-DZ"/>
        </w:rPr>
      </w:pPr>
    </w:p>
    <w:p w:rsidR="00CB06AD" w:rsidRDefault="00CB06AD" w:rsidP="00B2256E">
      <w:pPr>
        <w:bidi/>
        <w:jc w:val="center"/>
        <w:rPr>
          <w:rFonts w:ascii="Traditional Arabic" w:eastAsia="Calibri" w:hAnsi="Traditional Arabic" w:cs="Traditional Arabic"/>
          <w:b/>
          <w:bCs/>
          <w:sz w:val="28"/>
          <w:szCs w:val="28"/>
          <w:rtl/>
          <w:lang w:bidi="ar-DZ"/>
        </w:rPr>
      </w:pPr>
      <w:bookmarkStart w:id="0" w:name="_GoBack"/>
      <w:bookmarkEnd w:id="0"/>
      <w:r w:rsidRPr="00CB06AD">
        <w:rPr>
          <w:rFonts w:ascii="Traditional Arabic" w:eastAsia="Calibri" w:hAnsi="Traditional Arabic" w:cs="Traditional Arabic" w:hint="cs"/>
          <w:b/>
          <w:bCs/>
          <w:sz w:val="28"/>
          <w:szCs w:val="28"/>
          <w:rtl/>
          <w:lang w:bidi="ar-DZ"/>
        </w:rPr>
        <w:lastRenderedPageBreak/>
        <w:t>الجدول (</w:t>
      </w:r>
      <w:r w:rsidR="001569CF">
        <w:rPr>
          <w:rFonts w:ascii="Traditional Arabic" w:eastAsia="Calibri" w:hAnsi="Traditional Arabic" w:cs="Traditional Arabic" w:hint="cs"/>
          <w:b/>
          <w:bCs/>
          <w:sz w:val="28"/>
          <w:szCs w:val="28"/>
          <w:rtl/>
          <w:lang w:bidi="ar-DZ"/>
        </w:rPr>
        <w:t>06</w:t>
      </w:r>
      <w:r w:rsidRPr="00CB06AD">
        <w:rPr>
          <w:rFonts w:ascii="Traditional Arabic" w:eastAsia="Calibri" w:hAnsi="Traditional Arabic" w:cs="Traditional Arabic" w:hint="cs"/>
          <w:b/>
          <w:bCs/>
          <w:sz w:val="28"/>
          <w:szCs w:val="28"/>
          <w:rtl/>
          <w:lang w:bidi="ar-DZ"/>
        </w:rPr>
        <w:t xml:space="preserve">): </w:t>
      </w:r>
      <w:r w:rsidR="00755DF4">
        <w:rPr>
          <w:rFonts w:ascii="Traditional Arabic" w:eastAsia="Calibri" w:hAnsi="Traditional Arabic" w:cs="Traditional Arabic" w:hint="cs"/>
          <w:b/>
          <w:bCs/>
          <w:sz w:val="28"/>
          <w:szCs w:val="28"/>
          <w:rtl/>
          <w:lang w:bidi="ar-DZ"/>
        </w:rPr>
        <w:t xml:space="preserve">حقول </w:t>
      </w:r>
      <w:r>
        <w:rPr>
          <w:rFonts w:ascii="Traditional Arabic" w:eastAsia="Calibri" w:hAnsi="Traditional Arabic" w:cs="Traditional Arabic" w:hint="cs"/>
          <w:b/>
          <w:bCs/>
          <w:sz w:val="28"/>
          <w:szCs w:val="28"/>
          <w:rtl/>
          <w:lang w:bidi="ar-DZ"/>
        </w:rPr>
        <w:t>المجالات 6، 7، 8</w:t>
      </w:r>
    </w:p>
    <w:tbl>
      <w:tblPr>
        <w:tblStyle w:val="Grilledutableau"/>
        <w:bidiVisual/>
        <w:tblW w:w="0" w:type="auto"/>
        <w:jc w:val="center"/>
        <w:tblLook w:val="04A0" w:firstRow="1" w:lastRow="0" w:firstColumn="1" w:lastColumn="0" w:noHBand="0" w:noVBand="1"/>
      </w:tblPr>
      <w:tblGrid>
        <w:gridCol w:w="2265"/>
        <w:gridCol w:w="2266"/>
        <w:gridCol w:w="2266"/>
      </w:tblGrid>
      <w:tr w:rsidR="00CB06AD" w:rsidTr="001569CF">
        <w:trPr>
          <w:jc w:val="center"/>
        </w:trPr>
        <w:tc>
          <w:tcPr>
            <w:tcW w:w="2265" w:type="dxa"/>
          </w:tcPr>
          <w:p w:rsidR="00CB06AD" w:rsidRPr="00D87210" w:rsidRDefault="00CB06AD" w:rsidP="001569CF">
            <w:pPr>
              <w:bidi/>
              <w:jc w:val="center"/>
              <w:rPr>
                <w:rFonts w:ascii="Traditional Arabic" w:eastAsia="Calibri" w:hAnsi="Traditional Arabic" w:cs="Traditional Arabic"/>
                <w:b/>
                <w:bCs/>
                <w:sz w:val="28"/>
                <w:szCs w:val="28"/>
                <w:rtl/>
                <w:lang w:bidi="ar-DZ"/>
              </w:rPr>
            </w:pPr>
            <w:r>
              <w:rPr>
                <w:rFonts w:ascii="Traditional Arabic" w:eastAsia="Calibri" w:hAnsi="Traditional Arabic" w:cs="Traditional Arabic" w:hint="cs"/>
                <w:b/>
                <w:bCs/>
                <w:sz w:val="28"/>
                <w:szCs w:val="28"/>
                <w:rtl/>
                <w:lang w:bidi="ar-DZ"/>
              </w:rPr>
              <w:t>المجال</w:t>
            </w:r>
          </w:p>
        </w:tc>
        <w:tc>
          <w:tcPr>
            <w:tcW w:w="2266" w:type="dxa"/>
          </w:tcPr>
          <w:p w:rsidR="00CB06AD" w:rsidRPr="00D87210" w:rsidRDefault="00CB06AD" w:rsidP="001569CF">
            <w:pPr>
              <w:bidi/>
              <w:jc w:val="center"/>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مثال على المعايير</w:t>
            </w:r>
          </w:p>
        </w:tc>
        <w:tc>
          <w:tcPr>
            <w:tcW w:w="2266" w:type="dxa"/>
          </w:tcPr>
          <w:p w:rsidR="00CB06AD" w:rsidRPr="00D87210" w:rsidRDefault="00CB06AD" w:rsidP="001569CF">
            <w:pPr>
              <w:bidi/>
              <w:jc w:val="center"/>
              <w:rPr>
                <w:rFonts w:ascii="Traditional Arabic" w:eastAsia="Calibri" w:hAnsi="Traditional Arabic" w:cs="Traditional Arabic"/>
                <w:b/>
                <w:bCs/>
                <w:sz w:val="28"/>
                <w:szCs w:val="28"/>
                <w:rtl/>
                <w:lang w:bidi="ar-DZ"/>
              </w:rPr>
            </w:pPr>
            <w:r w:rsidRPr="00D87210">
              <w:rPr>
                <w:rFonts w:ascii="Traditional Arabic" w:eastAsia="Calibri" w:hAnsi="Traditional Arabic" w:cs="Traditional Arabic" w:hint="cs"/>
                <w:b/>
                <w:bCs/>
                <w:sz w:val="28"/>
                <w:szCs w:val="28"/>
                <w:rtl/>
                <w:lang w:bidi="ar-DZ"/>
              </w:rPr>
              <w:t>أمثلة على الأدلة</w:t>
            </w:r>
          </w:p>
        </w:tc>
      </w:tr>
      <w:tr w:rsidR="00CB06AD" w:rsidTr="001569CF">
        <w:trPr>
          <w:jc w:val="center"/>
        </w:trPr>
        <w:tc>
          <w:tcPr>
            <w:tcW w:w="2265" w:type="dxa"/>
          </w:tcPr>
          <w:p w:rsidR="00CB06AD" w:rsidRDefault="00CB06AD" w:rsidP="001569CF">
            <w:pPr>
              <w:bidi/>
              <w:jc w:val="center"/>
              <w:rPr>
                <w:rFonts w:ascii="Traditional Arabic" w:eastAsia="Calibri" w:hAnsi="Traditional Arabic" w:cs="Traditional Arabic"/>
                <w:b/>
                <w:bCs/>
                <w:sz w:val="28"/>
                <w:szCs w:val="28"/>
                <w:rtl/>
                <w:lang w:bidi="ar-DZ"/>
              </w:rPr>
            </w:pPr>
            <w:r>
              <w:rPr>
                <w:rFonts w:ascii="Traditional Arabic" w:eastAsia="Calibri" w:hAnsi="Traditional Arabic" w:cs="Traditional Arabic" w:hint="cs"/>
                <w:b/>
                <w:bCs/>
                <w:sz w:val="28"/>
                <w:szCs w:val="28"/>
                <w:rtl/>
                <w:lang w:bidi="ar-DZ"/>
              </w:rPr>
              <w:t>العلاقات مع المحيط</w:t>
            </w:r>
          </w:p>
        </w:tc>
        <w:tc>
          <w:tcPr>
            <w:tcW w:w="2266" w:type="dxa"/>
          </w:tcPr>
          <w:p w:rsidR="00CB06AD" w:rsidRPr="00C4144A" w:rsidRDefault="00CB06AD"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وجود اتفاقيات تعاون مع مؤسسات اقتصادية</w:t>
            </w:r>
          </w:p>
        </w:tc>
        <w:tc>
          <w:tcPr>
            <w:tcW w:w="2266" w:type="dxa"/>
          </w:tcPr>
          <w:p w:rsidR="00CB06AD" w:rsidRPr="00C4144A" w:rsidRDefault="00C4144A"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عدد الاتفاقيات النشطة، تقارير متابعة المشاريع</w:t>
            </w:r>
          </w:p>
        </w:tc>
      </w:tr>
      <w:tr w:rsidR="00CB06AD" w:rsidTr="001569CF">
        <w:trPr>
          <w:jc w:val="center"/>
        </w:trPr>
        <w:tc>
          <w:tcPr>
            <w:tcW w:w="2265" w:type="dxa"/>
          </w:tcPr>
          <w:p w:rsidR="00CB06AD" w:rsidRDefault="00CB06AD" w:rsidP="001569CF">
            <w:pPr>
              <w:bidi/>
              <w:jc w:val="center"/>
              <w:rPr>
                <w:rFonts w:ascii="Traditional Arabic" w:eastAsia="Calibri" w:hAnsi="Traditional Arabic" w:cs="Traditional Arabic"/>
                <w:b/>
                <w:bCs/>
                <w:sz w:val="28"/>
                <w:szCs w:val="28"/>
                <w:rtl/>
                <w:lang w:bidi="ar-DZ"/>
              </w:rPr>
            </w:pPr>
            <w:r>
              <w:rPr>
                <w:rFonts w:ascii="Traditional Arabic" w:eastAsia="Calibri" w:hAnsi="Traditional Arabic" w:cs="Traditional Arabic" w:hint="cs"/>
                <w:b/>
                <w:bCs/>
                <w:sz w:val="28"/>
                <w:szCs w:val="28"/>
                <w:rtl/>
                <w:lang w:bidi="ar-DZ"/>
              </w:rPr>
              <w:t>التعاون الدولي</w:t>
            </w:r>
          </w:p>
        </w:tc>
        <w:tc>
          <w:tcPr>
            <w:tcW w:w="2266" w:type="dxa"/>
          </w:tcPr>
          <w:p w:rsidR="00CB06AD" w:rsidRPr="00C4144A" w:rsidRDefault="00C4144A"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استقطاب الطلبة الأجانب وتبادل الأساتذة</w:t>
            </w:r>
          </w:p>
        </w:tc>
        <w:tc>
          <w:tcPr>
            <w:tcW w:w="2266" w:type="dxa"/>
          </w:tcPr>
          <w:p w:rsidR="00CB06AD" w:rsidRPr="00C4144A" w:rsidRDefault="00C4144A"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عدد الطلبة الأجانب المسجلين واتفاقيات التبادل</w:t>
            </w:r>
          </w:p>
        </w:tc>
      </w:tr>
      <w:tr w:rsidR="00CB06AD" w:rsidTr="001569CF">
        <w:trPr>
          <w:jc w:val="center"/>
        </w:trPr>
        <w:tc>
          <w:tcPr>
            <w:tcW w:w="2265" w:type="dxa"/>
          </w:tcPr>
          <w:p w:rsidR="00CB06AD" w:rsidRDefault="00CB06AD" w:rsidP="001569CF">
            <w:pPr>
              <w:bidi/>
              <w:jc w:val="center"/>
              <w:rPr>
                <w:rFonts w:ascii="Traditional Arabic" w:eastAsia="Calibri" w:hAnsi="Traditional Arabic" w:cs="Traditional Arabic"/>
                <w:b/>
                <w:bCs/>
                <w:sz w:val="28"/>
                <w:szCs w:val="28"/>
                <w:rtl/>
                <w:lang w:bidi="ar-DZ"/>
              </w:rPr>
            </w:pPr>
            <w:r>
              <w:rPr>
                <w:rFonts w:ascii="Traditional Arabic" w:eastAsia="Calibri" w:hAnsi="Traditional Arabic" w:cs="Traditional Arabic" w:hint="cs"/>
                <w:b/>
                <w:bCs/>
                <w:sz w:val="28"/>
                <w:szCs w:val="28"/>
                <w:rtl/>
                <w:lang w:bidi="ar-DZ"/>
              </w:rPr>
              <w:t>المسؤولية المجتمعية والتنمية المستدامة</w:t>
            </w:r>
          </w:p>
        </w:tc>
        <w:tc>
          <w:tcPr>
            <w:tcW w:w="2266" w:type="dxa"/>
          </w:tcPr>
          <w:p w:rsidR="00CB06AD" w:rsidRPr="00C4144A" w:rsidRDefault="00C4144A"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إدراج أهداف التنمية المستدامة في السياسة المؤسسية</w:t>
            </w:r>
          </w:p>
        </w:tc>
        <w:tc>
          <w:tcPr>
            <w:tcW w:w="2266" w:type="dxa"/>
          </w:tcPr>
          <w:p w:rsidR="00CB06AD" w:rsidRPr="00C4144A" w:rsidRDefault="00C4144A" w:rsidP="001569CF">
            <w:pPr>
              <w:bidi/>
              <w:jc w:val="center"/>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تقارير الأنشطة البيئية والاجتماعية، سياسات الطاقة</w:t>
            </w:r>
          </w:p>
        </w:tc>
      </w:tr>
    </w:tbl>
    <w:p w:rsidR="001569CF" w:rsidRDefault="001569CF" w:rsidP="00457561">
      <w:pPr>
        <w:bidi/>
        <w:jc w:val="center"/>
        <w:rPr>
          <w:rFonts w:ascii="Traditional Arabic" w:eastAsia="Calibri" w:hAnsi="Traditional Arabic" w:cs="Traditional Arabic"/>
          <w:sz w:val="28"/>
          <w:szCs w:val="28"/>
          <w:rtl/>
        </w:rPr>
      </w:pPr>
      <w:r>
        <w:rPr>
          <w:rFonts w:ascii="Traditional Arabic" w:eastAsia="Calibri" w:hAnsi="Traditional Arabic" w:cs="Traditional Arabic" w:hint="cs"/>
          <w:b/>
          <w:bCs/>
          <w:sz w:val="28"/>
          <w:szCs w:val="28"/>
          <w:rtl/>
          <w:lang w:bidi="ar-DZ"/>
        </w:rPr>
        <w:t xml:space="preserve">المصدر: </w:t>
      </w:r>
      <w:r>
        <w:rPr>
          <w:rFonts w:ascii="Traditional Arabic" w:eastAsia="Calibri" w:hAnsi="Traditional Arabic" w:cs="Traditional Arabic" w:hint="cs"/>
          <w:sz w:val="28"/>
          <w:szCs w:val="28"/>
          <w:rtl/>
          <w:lang w:bidi="ar-DZ"/>
        </w:rPr>
        <w:t>من إعداد الباحثتين</w:t>
      </w:r>
      <w:r w:rsidRPr="00F975C5">
        <w:rPr>
          <w:rFonts w:ascii="Traditional Arabic" w:eastAsia="Calibri" w:hAnsi="Traditional Arabic" w:cs="Traditional Arabic" w:hint="cs"/>
          <w:sz w:val="28"/>
          <w:szCs w:val="28"/>
          <w:rtl/>
          <w:lang w:bidi="ar-DZ"/>
        </w:rPr>
        <w:t xml:space="preserve"> بالاعتماد على ال</w:t>
      </w:r>
      <w:r w:rsidRPr="00F975C5">
        <w:rPr>
          <w:rFonts w:ascii="Traditional Arabic" w:eastAsia="Calibri" w:hAnsi="Traditional Arabic" w:cs="Traditional Arabic" w:hint="cs"/>
          <w:sz w:val="28"/>
          <w:szCs w:val="28"/>
          <w:rtl/>
        </w:rPr>
        <w:t>مرجع الوطني (</w:t>
      </w:r>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p>
    <w:p w:rsidR="00CB06AD" w:rsidRPr="00C4144A" w:rsidRDefault="00C4144A" w:rsidP="001569CF">
      <w:pPr>
        <w:bidi/>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 xml:space="preserve">مما سبق نستنتج أن أهم ما يميز هذا المرجع </w:t>
      </w:r>
      <w:proofErr w:type="spellStart"/>
      <w:r w:rsidRPr="00C4144A">
        <w:rPr>
          <w:rFonts w:ascii="Traditional Arabic" w:eastAsia="Calibri" w:hAnsi="Traditional Arabic" w:cs="Traditional Arabic" w:hint="cs"/>
          <w:sz w:val="28"/>
          <w:szCs w:val="28"/>
          <w:rtl/>
          <w:lang w:bidi="ar-DZ"/>
        </w:rPr>
        <w:t>مايلي</w:t>
      </w:r>
      <w:proofErr w:type="spellEnd"/>
      <w:r w:rsidRPr="00C4144A">
        <w:rPr>
          <w:rFonts w:ascii="Traditional Arabic" w:eastAsia="Calibri" w:hAnsi="Traditional Arabic" w:cs="Traditional Arabic" w:hint="cs"/>
          <w:sz w:val="28"/>
          <w:szCs w:val="28"/>
          <w:rtl/>
          <w:lang w:bidi="ar-DZ"/>
        </w:rPr>
        <w:t>:</w:t>
      </w:r>
    </w:p>
    <w:p w:rsidR="00C4144A" w:rsidRPr="00C4144A" w:rsidRDefault="00C4144A" w:rsidP="00C4144A">
      <w:pPr>
        <w:pStyle w:val="Paragraphedeliste"/>
        <w:numPr>
          <w:ilvl w:val="0"/>
          <w:numId w:val="2"/>
        </w:numPr>
        <w:bidi/>
        <w:rPr>
          <w:rFonts w:ascii="Traditional Arabic" w:eastAsia="Calibri" w:hAnsi="Traditional Arabic" w:cs="Traditional Arabic"/>
          <w:sz w:val="28"/>
          <w:szCs w:val="28"/>
          <w:lang w:bidi="ar-DZ"/>
        </w:rPr>
      </w:pPr>
      <w:r w:rsidRPr="00C4144A">
        <w:rPr>
          <w:rFonts w:ascii="Traditional Arabic" w:eastAsia="Calibri" w:hAnsi="Traditional Arabic" w:cs="Traditional Arabic" w:hint="cs"/>
          <w:sz w:val="28"/>
          <w:szCs w:val="28"/>
          <w:rtl/>
          <w:lang w:bidi="ar-DZ"/>
        </w:rPr>
        <w:t>شمولية المرجع لدميع الجوانب الأكاديمية والإدارية</w:t>
      </w:r>
    </w:p>
    <w:p w:rsidR="00C4144A" w:rsidRPr="00C4144A" w:rsidRDefault="00C4144A" w:rsidP="00C4144A">
      <w:pPr>
        <w:pStyle w:val="Paragraphedeliste"/>
        <w:numPr>
          <w:ilvl w:val="0"/>
          <w:numId w:val="2"/>
        </w:numPr>
        <w:bidi/>
        <w:rPr>
          <w:rFonts w:ascii="Traditional Arabic" w:eastAsia="Calibri" w:hAnsi="Traditional Arabic" w:cs="Traditional Arabic"/>
          <w:sz w:val="28"/>
          <w:szCs w:val="28"/>
          <w:lang w:bidi="ar-DZ"/>
        </w:rPr>
      </w:pPr>
      <w:r w:rsidRPr="00C4144A">
        <w:rPr>
          <w:rFonts w:ascii="Traditional Arabic" w:eastAsia="Calibri" w:hAnsi="Traditional Arabic" w:cs="Traditional Arabic" w:hint="cs"/>
          <w:sz w:val="28"/>
          <w:szCs w:val="28"/>
          <w:rtl/>
          <w:lang w:bidi="ar-DZ"/>
        </w:rPr>
        <w:t>وضوح المراجع والمعايير وسهولة قياسها</w:t>
      </w:r>
    </w:p>
    <w:p w:rsidR="00CB06AD" w:rsidRPr="00853502" w:rsidRDefault="00C4144A" w:rsidP="00853502">
      <w:pPr>
        <w:pStyle w:val="Paragraphedeliste"/>
        <w:numPr>
          <w:ilvl w:val="0"/>
          <w:numId w:val="2"/>
        </w:numPr>
        <w:bidi/>
        <w:rPr>
          <w:rFonts w:ascii="Traditional Arabic" w:eastAsia="Calibri" w:hAnsi="Traditional Arabic" w:cs="Traditional Arabic"/>
          <w:sz w:val="28"/>
          <w:szCs w:val="28"/>
          <w:rtl/>
          <w:lang w:bidi="ar-DZ"/>
        </w:rPr>
      </w:pPr>
      <w:r w:rsidRPr="00C4144A">
        <w:rPr>
          <w:rFonts w:ascii="Traditional Arabic" w:eastAsia="Calibri" w:hAnsi="Traditional Arabic" w:cs="Traditional Arabic" w:hint="cs"/>
          <w:sz w:val="28"/>
          <w:szCs w:val="28"/>
          <w:rtl/>
          <w:lang w:bidi="ar-DZ"/>
        </w:rPr>
        <w:t>توافق المرجع مع المعايير الدولية مما يعزز قابلية الجامعات الجزائرية للاندماج في الشبكات الدولية</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أمثلة تطبيقية واقعية</w:t>
      </w:r>
    </w:p>
    <w:p w:rsidR="00853502" w:rsidRDefault="00853502" w:rsidP="00853502">
      <w:pPr>
        <w:bidi/>
        <w:jc w:val="both"/>
        <w:rPr>
          <w:rFonts w:ascii="Traditional Arabic" w:eastAsia="Calibri" w:hAnsi="Traditional Arabic" w:cs="Traditional Arabic"/>
          <w:sz w:val="28"/>
          <w:szCs w:val="28"/>
          <w:rtl/>
        </w:rPr>
      </w:pPr>
      <w:r w:rsidRPr="00853502">
        <w:rPr>
          <w:rFonts w:ascii="Traditional Arabic" w:eastAsia="Calibri" w:hAnsi="Traditional Arabic" w:cs="Traditional Arabic" w:hint="cs"/>
          <w:sz w:val="28"/>
          <w:szCs w:val="28"/>
          <w:rtl/>
        </w:rPr>
        <w:t>توجد العد</w:t>
      </w:r>
      <w:r>
        <w:rPr>
          <w:rFonts w:ascii="Traditional Arabic" w:eastAsia="Calibri" w:hAnsi="Traditional Arabic" w:cs="Traditional Arabic" w:hint="cs"/>
          <w:sz w:val="28"/>
          <w:szCs w:val="28"/>
          <w:rtl/>
        </w:rPr>
        <w:t xml:space="preserve">يد من الأمثلة على مستوى مختلف </w:t>
      </w:r>
      <w:r w:rsidRPr="00853502">
        <w:rPr>
          <w:rFonts w:ascii="Traditional Arabic" w:eastAsia="Calibri" w:hAnsi="Traditional Arabic" w:cs="Traditional Arabic" w:hint="cs"/>
          <w:sz w:val="28"/>
          <w:szCs w:val="28"/>
          <w:rtl/>
        </w:rPr>
        <w:t xml:space="preserve">مؤسسات </w:t>
      </w:r>
      <w:r>
        <w:rPr>
          <w:rFonts w:ascii="Traditional Arabic" w:eastAsia="Calibri" w:hAnsi="Traditional Arabic" w:cs="Traditional Arabic" w:hint="cs"/>
          <w:sz w:val="28"/>
          <w:szCs w:val="28"/>
          <w:rtl/>
        </w:rPr>
        <w:t xml:space="preserve">التعليم العالي الجزائرية </w:t>
      </w:r>
      <w:r w:rsidRPr="00853502">
        <w:rPr>
          <w:rFonts w:ascii="Traditional Arabic" w:eastAsia="Calibri" w:hAnsi="Traditional Arabic" w:cs="Traditional Arabic" w:hint="cs"/>
          <w:sz w:val="28"/>
          <w:szCs w:val="28"/>
          <w:rtl/>
        </w:rPr>
        <w:t xml:space="preserve">تبرز التطبيق العملي لمجالات المرجع </w:t>
      </w:r>
      <w:proofErr w:type="gramStart"/>
      <w:r w:rsidRPr="00853502">
        <w:rPr>
          <w:rFonts w:ascii="Traditional Arabic" w:eastAsia="Calibri" w:hAnsi="Traditional Arabic" w:cs="Traditional Arabic" w:hint="cs"/>
          <w:sz w:val="28"/>
          <w:szCs w:val="28"/>
          <w:rtl/>
        </w:rPr>
        <w:t xml:space="preserve">الوطني </w:t>
      </w:r>
      <w:r w:rsidRPr="00F975C5">
        <w:rPr>
          <w:rFonts w:ascii="Traditional Arabic" w:eastAsia="Calibri" w:hAnsi="Traditional Arabic" w:cs="Traditional Arabic" w:hint="cs"/>
          <w:sz w:val="28"/>
          <w:szCs w:val="28"/>
          <w:rtl/>
        </w:rPr>
        <w:t xml:space="preserve"> (</w:t>
      </w:r>
      <w:proofErr w:type="gramEnd"/>
      <w:r w:rsidRPr="00F975C5">
        <w:rPr>
          <w:rFonts w:ascii="Traditional Arabic" w:eastAsia="Calibri" w:hAnsi="Traditional Arabic" w:cs="Traditional Arabic"/>
          <w:sz w:val="28"/>
          <w:szCs w:val="28"/>
        </w:rPr>
        <w:t>RNAQ-ESRS 2023</w:t>
      </w:r>
      <w:r w:rsidRPr="00F975C5">
        <w:rPr>
          <w:rFonts w:ascii="Traditional Arabic" w:eastAsia="Calibri" w:hAnsi="Traditional Arabic" w:cs="Traditional Arabic" w:hint="cs"/>
          <w:sz w:val="28"/>
          <w:szCs w:val="28"/>
          <w:rtl/>
        </w:rPr>
        <w:t>)</w:t>
      </w:r>
      <w:r>
        <w:rPr>
          <w:rFonts w:ascii="Traditional Arabic" w:eastAsia="Calibri" w:hAnsi="Traditional Arabic" w:cs="Traditional Arabic" w:hint="cs"/>
          <w:sz w:val="28"/>
          <w:szCs w:val="28"/>
          <w:rtl/>
        </w:rPr>
        <w:t xml:space="preserve"> والتي تؤكد أن تفعيله بشكل فعال يتطلب:</w:t>
      </w:r>
    </w:p>
    <w:p w:rsidR="00853502" w:rsidRDefault="00853502" w:rsidP="0085350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إنشاء هياكل داخلية متخصصة في متابعة الجودة</w:t>
      </w:r>
      <w:r w:rsidR="00F1536C">
        <w:rPr>
          <w:rFonts w:ascii="Traditional Arabic" w:eastAsia="Calibri" w:hAnsi="Traditional Arabic" w:cs="Traditional Arabic" w:hint="cs"/>
          <w:sz w:val="28"/>
          <w:szCs w:val="28"/>
          <w:rtl/>
        </w:rPr>
        <w:t xml:space="preserve"> في عدد كبير من المؤسسات الجامعية.</w:t>
      </w:r>
    </w:p>
    <w:p w:rsidR="00853502" w:rsidRDefault="00853502" w:rsidP="0085350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تبني نظم معلوماتية موحدة على مستوى الجامعة (</w:t>
      </w:r>
      <w:r w:rsidR="00F1536C">
        <w:rPr>
          <w:rFonts w:ascii="Traditional Arabic" w:eastAsia="Calibri" w:hAnsi="Traditional Arabic" w:cs="Traditional Arabic" w:hint="cs"/>
          <w:sz w:val="28"/>
          <w:szCs w:val="28"/>
          <w:rtl/>
        </w:rPr>
        <w:t>أطلقت جامعة قسنطينة 3 نظام معلومات رقمي موحد لإدارة شؤون الطلبة والأساتذة والإداريين، كما تم تجهيز 60 بالمئة من القاعات الدراسية بالمعدات الرقمية</w:t>
      </w:r>
      <w:r>
        <w:rPr>
          <w:rFonts w:ascii="Traditional Arabic" w:eastAsia="Calibri" w:hAnsi="Traditional Arabic" w:cs="Traditional Arabic" w:hint="cs"/>
          <w:sz w:val="28"/>
          <w:szCs w:val="28"/>
          <w:rtl/>
        </w:rPr>
        <w:t>)</w:t>
      </w:r>
      <w:r w:rsidR="00F1536C">
        <w:rPr>
          <w:rFonts w:ascii="Traditional Arabic" w:eastAsia="Calibri" w:hAnsi="Traditional Arabic" w:cs="Traditional Arabic" w:hint="cs"/>
          <w:sz w:val="28"/>
          <w:szCs w:val="28"/>
          <w:rtl/>
        </w:rPr>
        <w:t>.</w:t>
      </w:r>
    </w:p>
    <w:p w:rsidR="00853502" w:rsidRDefault="00853502" w:rsidP="0085350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تعزيز الشراكات الوطنية والدولية لتحقيق الاستدامة المالية والأكاديمية (تجربة المدرسة الوطنية المتعددة التقنيات بالجزائر حيث تمكنت من استقطاب أكثر من 120 طالبا أجنبيا من إفريقيا جنوب الصحراء في الفترة 2021-2023 عبر شراكات مع 10 جامعات دولية)</w:t>
      </w:r>
      <w:r w:rsidR="00F1536C">
        <w:rPr>
          <w:rFonts w:ascii="Traditional Arabic" w:eastAsia="Calibri" w:hAnsi="Traditional Arabic" w:cs="Traditional Arabic" w:hint="cs"/>
          <w:sz w:val="28"/>
          <w:szCs w:val="28"/>
          <w:rtl/>
        </w:rPr>
        <w:t>.</w:t>
      </w:r>
    </w:p>
    <w:p w:rsidR="00853502" w:rsidRPr="00853502" w:rsidRDefault="00853502" w:rsidP="0085350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إشراك الطلبة والأساتذة في وضع وتنفيذ خطط التحسين المستمر</w:t>
      </w:r>
    </w:p>
    <w:p w:rsidR="00E47D61" w:rsidRDefault="005B540C">
      <w:pPr>
        <w:pStyle w:val="Paragraphedeliste"/>
        <w:numPr>
          <w:ilvl w:val="0"/>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lastRenderedPageBreak/>
        <w:t>التوجهات الاستراتيجية الجديدة لقطاع التعليم العالي في الجزائر</w:t>
      </w:r>
    </w:p>
    <w:p w:rsidR="00373A9C" w:rsidRPr="00373A9C" w:rsidRDefault="00373A9C" w:rsidP="00373A9C">
      <w:pPr>
        <w:bidi/>
        <w:ind w:firstLine="360"/>
        <w:jc w:val="both"/>
        <w:rPr>
          <w:rFonts w:ascii="Traditional Arabic" w:eastAsia="Calibri" w:hAnsi="Traditional Arabic" w:cs="Traditional Arabic"/>
          <w:sz w:val="28"/>
          <w:szCs w:val="28"/>
        </w:rPr>
      </w:pPr>
      <w:r w:rsidRPr="00373A9C">
        <w:rPr>
          <w:rFonts w:ascii="Traditional Arabic" w:eastAsia="Calibri" w:hAnsi="Traditional Arabic" w:cs="Traditional Arabic" w:hint="cs"/>
          <w:sz w:val="28"/>
          <w:szCs w:val="28"/>
          <w:rtl/>
        </w:rPr>
        <w:t>عرف قطاع التعليم العالي في الجزائر خلال السنوات الأخيرة تحولات استراتيجية مهمة، استجابة لمتطلبات التن</w:t>
      </w:r>
      <w:r>
        <w:rPr>
          <w:rFonts w:ascii="Traditional Arabic" w:eastAsia="Calibri" w:hAnsi="Traditional Arabic" w:cs="Traditional Arabic" w:hint="cs"/>
          <w:sz w:val="28"/>
          <w:szCs w:val="28"/>
          <w:rtl/>
        </w:rPr>
        <w:t>مية الوطنية والتحديات العالمية، شملت المجالات التالية</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 xml:space="preserve">التدويل والانفتاح الدولي </w:t>
      </w:r>
    </w:p>
    <w:p w:rsidR="00373A9C" w:rsidRPr="00373A9C" w:rsidRDefault="00373A9C" w:rsidP="00373A9C">
      <w:pPr>
        <w:bidi/>
        <w:jc w:val="both"/>
        <w:rPr>
          <w:rFonts w:ascii="Traditional Arabic" w:eastAsia="Calibri" w:hAnsi="Traditional Arabic" w:cs="Traditional Arabic"/>
          <w:sz w:val="28"/>
          <w:szCs w:val="28"/>
          <w:rtl/>
        </w:rPr>
      </w:pPr>
      <w:r w:rsidRPr="00373A9C">
        <w:rPr>
          <w:rFonts w:ascii="Traditional Arabic" w:eastAsia="Calibri" w:hAnsi="Traditional Arabic" w:cs="Traditional Arabic" w:hint="cs"/>
          <w:sz w:val="28"/>
          <w:szCs w:val="28"/>
          <w:rtl/>
        </w:rPr>
        <w:t>يعتبر التدويل من الركائز الأساسية التي تتبناها وزارة التعليم العالي من خلال:</w:t>
      </w:r>
    </w:p>
    <w:p w:rsidR="00373A9C" w:rsidRDefault="00373A9C" w:rsidP="00373A9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استقطاب الطلبة الأجانب وتطوير برامج التبادل الأكاديمي</w:t>
      </w:r>
    </w:p>
    <w:p w:rsidR="00373A9C" w:rsidRDefault="00373A9C" w:rsidP="00373A9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تعزيز الشراكات مع الجامعات العالمية في مجالات البحث العلمي والتكوين</w:t>
      </w:r>
    </w:p>
    <w:p w:rsidR="00373A9C" w:rsidRDefault="00373A9C" w:rsidP="00373A9C">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إدراج اللغة الإنجليزية في البرامج الأكاديمية لتسهيل الاندماج الدولي.</w:t>
      </w:r>
    </w:p>
    <w:p w:rsidR="00373A9C" w:rsidRPr="00373A9C" w:rsidRDefault="00373A9C" w:rsidP="00373A9C">
      <w:p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 xml:space="preserve">مما يرتبط بشكل مباشر مع المجال السابع </w:t>
      </w:r>
      <w:r w:rsidR="002E6028">
        <w:rPr>
          <w:rFonts w:ascii="Traditional Arabic" w:eastAsia="Calibri" w:hAnsi="Traditional Arabic" w:cs="Traditional Arabic" w:hint="cs"/>
          <w:sz w:val="28"/>
          <w:szCs w:val="28"/>
          <w:rtl/>
        </w:rPr>
        <w:t xml:space="preserve">للمرجع </w:t>
      </w:r>
      <w:proofErr w:type="gramStart"/>
      <w:r w:rsidR="002E6028">
        <w:rPr>
          <w:rFonts w:ascii="Traditional Arabic" w:eastAsia="Calibri" w:hAnsi="Traditional Arabic" w:cs="Traditional Arabic" w:hint="cs"/>
          <w:sz w:val="28"/>
          <w:szCs w:val="28"/>
          <w:rtl/>
        </w:rPr>
        <w:t xml:space="preserve">الوطني </w:t>
      </w:r>
      <w:r w:rsidR="002E6028" w:rsidRPr="00F975C5">
        <w:rPr>
          <w:rFonts w:ascii="Traditional Arabic" w:eastAsia="Calibri" w:hAnsi="Traditional Arabic" w:cs="Traditional Arabic" w:hint="cs"/>
          <w:sz w:val="28"/>
          <w:szCs w:val="28"/>
          <w:rtl/>
        </w:rPr>
        <w:t xml:space="preserve"> (</w:t>
      </w:r>
      <w:proofErr w:type="gramEnd"/>
      <w:r w:rsidR="002E6028" w:rsidRPr="00F975C5">
        <w:rPr>
          <w:rFonts w:ascii="Traditional Arabic" w:eastAsia="Calibri" w:hAnsi="Traditional Arabic" w:cs="Traditional Arabic"/>
          <w:sz w:val="28"/>
          <w:szCs w:val="28"/>
        </w:rPr>
        <w:t>RNAQ-ESRS 2023</w:t>
      </w:r>
      <w:r w:rsidR="002E6028" w:rsidRPr="00F975C5">
        <w:rPr>
          <w:rFonts w:ascii="Traditional Arabic" w:eastAsia="Calibri" w:hAnsi="Traditional Arabic" w:cs="Traditional Arabic" w:hint="cs"/>
          <w:sz w:val="28"/>
          <w:szCs w:val="28"/>
          <w:rtl/>
        </w:rPr>
        <w:t>)</w:t>
      </w:r>
      <w:r w:rsidR="002E6028">
        <w:rPr>
          <w:rFonts w:ascii="Traditional Arabic" w:eastAsia="Calibri" w:hAnsi="Traditional Arabic" w:cs="Traditional Arabic" w:hint="cs"/>
          <w:sz w:val="28"/>
          <w:szCs w:val="28"/>
          <w:rtl/>
        </w:rPr>
        <w:t xml:space="preserve"> الذي يضع معايير واضحة لاستقطاب الطلبة الأجانب وتوسيع الشراكات</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الابتكار وربط الجامعة بالمحيط الاقتصادي</w:t>
      </w:r>
    </w:p>
    <w:p w:rsidR="002E6028" w:rsidRPr="002E6028" w:rsidRDefault="002E6028" w:rsidP="002E6028">
      <w:pPr>
        <w:bidi/>
        <w:jc w:val="both"/>
        <w:rPr>
          <w:rFonts w:ascii="Traditional Arabic" w:eastAsia="Calibri" w:hAnsi="Traditional Arabic" w:cs="Traditional Arabic"/>
          <w:sz w:val="28"/>
          <w:szCs w:val="28"/>
          <w:rtl/>
        </w:rPr>
      </w:pPr>
      <w:r w:rsidRPr="002E6028">
        <w:rPr>
          <w:rFonts w:ascii="Traditional Arabic" w:eastAsia="Calibri" w:hAnsi="Traditional Arabic" w:cs="Traditional Arabic" w:hint="cs"/>
          <w:sz w:val="28"/>
          <w:szCs w:val="28"/>
          <w:rtl/>
        </w:rPr>
        <w:t>ترتكز هذه التوجهات على:</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دعم إنشاء حاضنات جامعية ومراكز ابتكار</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تشجيع براءات الاختراع وريادة الأعمال الطلابية</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ربط مخرجات التكوين والبحث باحتياجات الاقتصاد الوطني</w:t>
      </w:r>
    </w:p>
    <w:p w:rsidR="002E6028" w:rsidRPr="002E6028" w:rsidRDefault="002E6028" w:rsidP="002E6028">
      <w:p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يرتبط هذا التوجه بالمجال الثاني الذي يدعو إلى وضع سياسات مؤسسية واضحة للابتكار، والمجال السادس الذي يشدد على بناء شراكات مع القطاعين العام والخاص.</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proofErr w:type="spellStart"/>
      <w:r>
        <w:rPr>
          <w:rFonts w:ascii="Traditional Arabic" w:eastAsia="Calibri" w:hAnsi="Traditional Arabic" w:cs="Traditional Arabic" w:hint="cs"/>
          <w:b/>
          <w:bCs/>
          <w:sz w:val="28"/>
          <w:szCs w:val="28"/>
          <w:rtl/>
        </w:rPr>
        <w:t>الحوكمة</w:t>
      </w:r>
      <w:proofErr w:type="spellEnd"/>
      <w:r>
        <w:rPr>
          <w:rFonts w:ascii="Traditional Arabic" w:eastAsia="Calibri" w:hAnsi="Traditional Arabic" w:cs="Traditional Arabic" w:hint="cs"/>
          <w:b/>
          <w:bCs/>
          <w:sz w:val="28"/>
          <w:szCs w:val="28"/>
          <w:rtl/>
        </w:rPr>
        <w:t xml:space="preserve"> الرشيدة </w:t>
      </w:r>
      <w:proofErr w:type="spellStart"/>
      <w:r>
        <w:rPr>
          <w:rFonts w:ascii="Traditional Arabic" w:eastAsia="Calibri" w:hAnsi="Traditional Arabic" w:cs="Traditional Arabic" w:hint="cs"/>
          <w:b/>
          <w:bCs/>
          <w:sz w:val="28"/>
          <w:szCs w:val="28"/>
          <w:rtl/>
        </w:rPr>
        <w:t>والرقمنة</w:t>
      </w:r>
      <w:proofErr w:type="spellEnd"/>
    </w:p>
    <w:p w:rsidR="002E6028" w:rsidRPr="002E6028" w:rsidRDefault="002E6028" w:rsidP="002E6028">
      <w:pPr>
        <w:bidi/>
        <w:jc w:val="both"/>
        <w:rPr>
          <w:rFonts w:ascii="Traditional Arabic" w:eastAsia="Calibri" w:hAnsi="Traditional Arabic" w:cs="Traditional Arabic"/>
          <w:sz w:val="28"/>
          <w:szCs w:val="28"/>
          <w:rtl/>
        </w:rPr>
      </w:pPr>
      <w:r w:rsidRPr="002E6028">
        <w:rPr>
          <w:rFonts w:ascii="Traditional Arabic" w:eastAsia="Calibri" w:hAnsi="Traditional Arabic" w:cs="Traditional Arabic" w:hint="cs"/>
          <w:sz w:val="28"/>
          <w:szCs w:val="28"/>
          <w:rtl/>
        </w:rPr>
        <w:t xml:space="preserve">تركز وزارة التعليم العالي على تطوير </w:t>
      </w:r>
      <w:proofErr w:type="spellStart"/>
      <w:r w:rsidRPr="002E6028">
        <w:rPr>
          <w:rFonts w:ascii="Traditional Arabic" w:eastAsia="Calibri" w:hAnsi="Traditional Arabic" w:cs="Traditional Arabic" w:hint="cs"/>
          <w:sz w:val="28"/>
          <w:szCs w:val="28"/>
          <w:rtl/>
        </w:rPr>
        <w:t>حوكمة</w:t>
      </w:r>
      <w:proofErr w:type="spellEnd"/>
      <w:r w:rsidRPr="002E6028">
        <w:rPr>
          <w:rFonts w:ascii="Traditional Arabic" w:eastAsia="Calibri" w:hAnsi="Traditional Arabic" w:cs="Traditional Arabic" w:hint="cs"/>
          <w:sz w:val="28"/>
          <w:szCs w:val="28"/>
          <w:rtl/>
        </w:rPr>
        <w:t xml:space="preserve"> مؤسسية شفافة </w:t>
      </w:r>
      <w:proofErr w:type="spellStart"/>
      <w:r w:rsidRPr="002E6028">
        <w:rPr>
          <w:rFonts w:ascii="Traditional Arabic" w:eastAsia="Calibri" w:hAnsi="Traditional Arabic" w:cs="Traditional Arabic" w:hint="cs"/>
          <w:sz w:val="28"/>
          <w:szCs w:val="28"/>
          <w:rtl/>
        </w:rPr>
        <w:t>ورقمنة</w:t>
      </w:r>
      <w:proofErr w:type="spellEnd"/>
      <w:r w:rsidRPr="002E6028">
        <w:rPr>
          <w:rFonts w:ascii="Traditional Arabic" w:eastAsia="Calibri" w:hAnsi="Traditional Arabic" w:cs="Traditional Arabic" w:hint="cs"/>
          <w:sz w:val="28"/>
          <w:szCs w:val="28"/>
          <w:rtl/>
        </w:rPr>
        <w:t xml:space="preserve"> الخدمات الجامعية من خلال:</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وضع مخططات استراتيجية واضحة في كل مؤسسة</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اعتماد أنظمة معلوماتية موحدة على مستوى الوزارة والجامعات</w:t>
      </w:r>
    </w:p>
    <w:p w:rsidR="002E6028" w:rsidRPr="002E6028"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lastRenderedPageBreak/>
        <w:t>ترسيخ مبادئ الشفافية والمساءلة في تسيير الموارد البشرية والمالية.</w:t>
      </w:r>
    </w:p>
    <w:p w:rsidR="002E6028" w:rsidRPr="002E6028" w:rsidRDefault="002E6028" w:rsidP="002E6028">
      <w:pPr>
        <w:bidi/>
        <w:jc w:val="both"/>
        <w:rPr>
          <w:rFonts w:ascii="Traditional Arabic" w:eastAsia="Calibri" w:hAnsi="Traditional Arabic" w:cs="Traditional Arabic"/>
          <w:sz w:val="28"/>
          <w:szCs w:val="28"/>
        </w:rPr>
      </w:pPr>
      <w:r w:rsidRPr="002E6028">
        <w:rPr>
          <w:rFonts w:ascii="Traditional Arabic" w:eastAsia="Calibri" w:hAnsi="Traditional Arabic" w:cs="Traditional Arabic" w:hint="cs"/>
          <w:sz w:val="28"/>
          <w:szCs w:val="28"/>
          <w:rtl/>
        </w:rPr>
        <w:t>يرتبط هذا التوجه بالمجال الثالث الذي يعالج هذه الجوانب بتفصيل عبر معايير التخطيط الاستراتيجي ونظم المعلومات.</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تحسين جودة الحياة الجامعية</w:t>
      </w:r>
    </w:p>
    <w:p w:rsidR="002E6028" w:rsidRPr="00952093" w:rsidRDefault="002E6028" w:rsidP="002E6028">
      <w:pPr>
        <w:bidi/>
        <w:jc w:val="both"/>
        <w:rPr>
          <w:rFonts w:ascii="Traditional Arabic" w:eastAsia="Calibri" w:hAnsi="Traditional Arabic" w:cs="Traditional Arabic"/>
          <w:sz w:val="28"/>
          <w:szCs w:val="28"/>
          <w:rtl/>
        </w:rPr>
      </w:pPr>
      <w:r w:rsidRPr="00952093">
        <w:rPr>
          <w:rFonts w:ascii="Traditional Arabic" w:eastAsia="Calibri" w:hAnsi="Traditional Arabic" w:cs="Traditional Arabic" w:hint="cs"/>
          <w:sz w:val="28"/>
          <w:szCs w:val="28"/>
          <w:rtl/>
        </w:rPr>
        <w:t>يولي القطاع أهمية كبيرة إلى تحسين ظروف الطلبة والأساتذة داخل الحرم الجامعي عبر:</w:t>
      </w:r>
    </w:p>
    <w:p w:rsidR="002E6028" w:rsidRPr="00952093"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952093">
        <w:rPr>
          <w:rFonts w:ascii="Traditional Arabic" w:eastAsia="Calibri" w:hAnsi="Traditional Arabic" w:cs="Traditional Arabic" w:hint="cs"/>
          <w:sz w:val="28"/>
          <w:szCs w:val="28"/>
          <w:rtl/>
        </w:rPr>
        <w:t>تحديث الإقامات الجامعية والخدمات الاجتماعية</w:t>
      </w:r>
    </w:p>
    <w:p w:rsidR="002E6028" w:rsidRPr="00952093"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952093">
        <w:rPr>
          <w:rFonts w:ascii="Traditional Arabic" w:eastAsia="Calibri" w:hAnsi="Traditional Arabic" w:cs="Traditional Arabic" w:hint="cs"/>
          <w:sz w:val="28"/>
          <w:szCs w:val="28"/>
          <w:rtl/>
        </w:rPr>
        <w:t>توفير مرافق رياضية وثقافية</w:t>
      </w:r>
    </w:p>
    <w:p w:rsidR="002E6028" w:rsidRPr="00952093" w:rsidRDefault="002E6028" w:rsidP="002E6028">
      <w:pPr>
        <w:pStyle w:val="Paragraphedeliste"/>
        <w:numPr>
          <w:ilvl w:val="0"/>
          <w:numId w:val="2"/>
        </w:numPr>
        <w:bidi/>
        <w:jc w:val="both"/>
        <w:rPr>
          <w:rFonts w:ascii="Traditional Arabic" w:eastAsia="Calibri" w:hAnsi="Traditional Arabic" w:cs="Traditional Arabic"/>
          <w:sz w:val="28"/>
          <w:szCs w:val="28"/>
        </w:rPr>
      </w:pPr>
      <w:r w:rsidRPr="00952093">
        <w:rPr>
          <w:rFonts w:ascii="Traditional Arabic" w:eastAsia="Calibri" w:hAnsi="Traditional Arabic" w:cs="Traditional Arabic" w:hint="cs"/>
          <w:sz w:val="28"/>
          <w:szCs w:val="28"/>
          <w:rtl/>
        </w:rPr>
        <w:t>تفعيل آليات الدعم النفسي والأكاديمي للطلبة</w:t>
      </w:r>
    </w:p>
    <w:p w:rsidR="002E6028" w:rsidRPr="00952093" w:rsidRDefault="00952093" w:rsidP="002E6028">
      <w:pPr>
        <w:bidi/>
        <w:jc w:val="both"/>
        <w:rPr>
          <w:rFonts w:ascii="Traditional Arabic" w:eastAsia="Calibri" w:hAnsi="Traditional Arabic" w:cs="Traditional Arabic"/>
          <w:sz w:val="28"/>
          <w:szCs w:val="28"/>
        </w:rPr>
      </w:pPr>
      <w:r w:rsidRPr="00952093">
        <w:rPr>
          <w:rFonts w:ascii="Traditional Arabic" w:eastAsia="Calibri" w:hAnsi="Traditional Arabic" w:cs="Traditional Arabic" w:hint="cs"/>
          <w:sz w:val="28"/>
          <w:szCs w:val="28"/>
          <w:rtl/>
        </w:rPr>
        <w:t>يرتبط هذا التوجه مع المجال الرابع الذي يتضمن مؤشرات لقياس رضا الطلبة والخدمات المقدمة لهم.</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إدماج البعد البيئي والاجتماعي في السياسات الجامعية</w:t>
      </w:r>
    </w:p>
    <w:p w:rsidR="00952093" w:rsidRPr="00952093" w:rsidRDefault="00952093" w:rsidP="00952093">
      <w:pPr>
        <w:bidi/>
        <w:jc w:val="both"/>
        <w:rPr>
          <w:rFonts w:ascii="Traditional Arabic" w:eastAsia="Calibri" w:hAnsi="Traditional Arabic" w:cs="Traditional Arabic"/>
          <w:sz w:val="28"/>
          <w:szCs w:val="28"/>
          <w:rtl/>
        </w:rPr>
      </w:pPr>
      <w:r w:rsidRPr="00952093">
        <w:rPr>
          <w:rFonts w:ascii="Traditional Arabic" w:eastAsia="Calibri" w:hAnsi="Traditional Arabic" w:cs="Traditional Arabic" w:hint="cs"/>
          <w:sz w:val="28"/>
          <w:szCs w:val="28"/>
          <w:rtl/>
        </w:rPr>
        <w:t>يتمثل هذا التوجه في إدراج المسؤولية المجتمعية والتنمية المستدامة ضمن خطط الجامعات عبر:</w:t>
      </w:r>
    </w:p>
    <w:p w:rsidR="00952093" w:rsidRDefault="00952093" w:rsidP="00952093">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ترشيد استهلاك الطاقة والمياه</w:t>
      </w:r>
    </w:p>
    <w:p w:rsidR="00952093" w:rsidRDefault="00952093" w:rsidP="00952093">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تشجيع مبادرات الجامعات الخضراء</w:t>
      </w:r>
    </w:p>
    <w:p w:rsidR="00952093" w:rsidRDefault="00952093" w:rsidP="00952093">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الانفتاح على المجتمع المحلي عبر برامج خدمة المجتمع</w:t>
      </w:r>
    </w:p>
    <w:p w:rsidR="00952093" w:rsidRPr="00952093" w:rsidRDefault="00952093" w:rsidP="00952093">
      <w:p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يرتبط هذا التوجه بالمجال الثامن من المرجع الوطني الذي يتضمن معايير واضحة لهذه المبادرات.</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مواءمة مخرجات التعليم مع سوق العمل</w:t>
      </w:r>
    </w:p>
    <w:p w:rsidR="00952093" w:rsidRPr="009F2459" w:rsidRDefault="00952093" w:rsidP="00952093">
      <w:pPr>
        <w:bidi/>
        <w:jc w:val="both"/>
        <w:rPr>
          <w:rFonts w:ascii="Traditional Arabic" w:eastAsia="Calibri" w:hAnsi="Traditional Arabic" w:cs="Traditional Arabic"/>
          <w:sz w:val="28"/>
          <w:szCs w:val="28"/>
          <w:rtl/>
        </w:rPr>
      </w:pPr>
      <w:r w:rsidRPr="009F2459">
        <w:rPr>
          <w:rFonts w:ascii="Traditional Arabic" w:eastAsia="Calibri" w:hAnsi="Traditional Arabic" w:cs="Traditional Arabic" w:hint="cs"/>
          <w:sz w:val="28"/>
          <w:szCs w:val="28"/>
          <w:rtl/>
        </w:rPr>
        <w:t>تسعى الوزارة إلى:</w:t>
      </w:r>
    </w:p>
    <w:p w:rsidR="00952093" w:rsidRPr="009F2459" w:rsidRDefault="00952093" w:rsidP="00952093">
      <w:pPr>
        <w:pStyle w:val="Paragraphedeliste"/>
        <w:numPr>
          <w:ilvl w:val="0"/>
          <w:numId w:val="2"/>
        </w:numPr>
        <w:bidi/>
        <w:jc w:val="both"/>
        <w:rPr>
          <w:rFonts w:ascii="Traditional Arabic" w:eastAsia="Calibri" w:hAnsi="Traditional Arabic" w:cs="Traditional Arabic"/>
          <w:sz w:val="28"/>
          <w:szCs w:val="28"/>
        </w:rPr>
      </w:pPr>
      <w:r w:rsidRPr="009F2459">
        <w:rPr>
          <w:rFonts w:ascii="Traditional Arabic" w:eastAsia="Calibri" w:hAnsi="Traditional Arabic" w:cs="Traditional Arabic" w:hint="cs"/>
          <w:sz w:val="28"/>
          <w:szCs w:val="28"/>
          <w:rtl/>
        </w:rPr>
        <w:t>مراجعة البرامج التكوينية بما يتلاءم مع المهارات المطلوبة في سوق العمل</w:t>
      </w:r>
    </w:p>
    <w:p w:rsidR="00952093" w:rsidRPr="009F2459" w:rsidRDefault="00952093" w:rsidP="00952093">
      <w:pPr>
        <w:pStyle w:val="Paragraphedeliste"/>
        <w:numPr>
          <w:ilvl w:val="0"/>
          <w:numId w:val="2"/>
        </w:numPr>
        <w:bidi/>
        <w:jc w:val="both"/>
        <w:rPr>
          <w:rFonts w:ascii="Traditional Arabic" w:eastAsia="Calibri" w:hAnsi="Traditional Arabic" w:cs="Traditional Arabic"/>
          <w:sz w:val="28"/>
          <w:szCs w:val="28"/>
        </w:rPr>
      </w:pPr>
      <w:r w:rsidRPr="009F2459">
        <w:rPr>
          <w:rFonts w:ascii="Traditional Arabic" w:eastAsia="Calibri" w:hAnsi="Traditional Arabic" w:cs="Traditional Arabic" w:hint="cs"/>
          <w:sz w:val="28"/>
          <w:szCs w:val="28"/>
          <w:rtl/>
        </w:rPr>
        <w:t>إدراج التكوين التطبيقي في المؤسسات الاقتصادية ضمن برامج الطلبة</w:t>
      </w:r>
    </w:p>
    <w:p w:rsidR="00952093" w:rsidRPr="009F2459" w:rsidRDefault="00952093" w:rsidP="00952093">
      <w:pPr>
        <w:pStyle w:val="Paragraphedeliste"/>
        <w:numPr>
          <w:ilvl w:val="0"/>
          <w:numId w:val="2"/>
        </w:numPr>
        <w:bidi/>
        <w:jc w:val="both"/>
        <w:rPr>
          <w:rFonts w:ascii="Traditional Arabic" w:eastAsia="Calibri" w:hAnsi="Traditional Arabic" w:cs="Traditional Arabic"/>
          <w:sz w:val="28"/>
          <w:szCs w:val="28"/>
        </w:rPr>
      </w:pPr>
      <w:r w:rsidRPr="009F2459">
        <w:rPr>
          <w:rFonts w:ascii="Traditional Arabic" w:eastAsia="Calibri" w:hAnsi="Traditional Arabic" w:cs="Traditional Arabic" w:hint="cs"/>
          <w:sz w:val="28"/>
          <w:szCs w:val="28"/>
          <w:rtl/>
        </w:rPr>
        <w:t>تفعيل آليات إدماج الخريجين عبر مكاتب التشغيل الجامعية</w:t>
      </w:r>
    </w:p>
    <w:p w:rsidR="00E470A5" w:rsidRPr="009F2459" w:rsidRDefault="00952093" w:rsidP="00E470A5">
      <w:pPr>
        <w:bidi/>
        <w:jc w:val="both"/>
        <w:rPr>
          <w:rFonts w:ascii="Traditional Arabic" w:eastAsia="Calibri" w:hAnsi="Traditional Arabic" w:cs="Traditional Arabic"/>
          <w:sz w:val="28"/>
          <w:szCs w:val="28"/>
        </w:rPr>
      </w:pPr>
      <w:r w:rsidRPr="009F2459">
        <w:rPr>
          <w:rFonts w:ascii="Traditional Arabic" w:eastAsia="Calibri" w:hAnsi="Traditional Arabic" w:cs="Traditional Arabic" w:hint="cs"/>
          <w:sz w:val="28"/>
          <w:szCs w:val="28"/>
          <w:rtl/>
        </w:rPr>
        <w:lastRenderedPageBreak/>
        <w:t xml:space="preserve">يرتبط هذا التوجه بالمجال الأول الذي يركز على ملاءمة العروض التكوينية مع احتياجات السوق، والمجال السادس </w:t>
      </w:r>
      <w:r w:rsidR="009F2459" w:rsidRPr="009F2459">
        <w:rPr>
          <w:rFonts w:ascii="Traditional Arabic" w:eastAsia="Calibri" w:hAnsi="Traditional Arabic" w:cs="Traditional Arabic" w:hint="cs"/>
          <w:sz w:val="28"/>
          <w:szCs w:val="28"/>
          <w:rtl/>
        </w:rPr>
        <w:t>الذي يدعم هذه الرؤية عبر بناء شراكات استراتيجية مع المؤسسات.</w:t>
      </w:r>
      <w:r w:rsidR="00E470A5">
        <w:rPr>
          <w:rFonts w:ascii="Traditional Arabic" w:eastAsia="Calibri" w:hAnsi="Traditional Arabic" w:cs="Traditional Arabic" w:hint="cs"/>
          <w:sz w:val="28"/>
          <w:szCs w:val="28"/>
          <w:rtl/>
        </w:rPr>
        <w:t xml:space="preserve"> </w:t>
      </w:r>
    </w:p>
    <w:p w:rsidR="00E47D61" w:rsidRDefault="005B540C">
      <w:pPr>
        <w:pStyle w:val="Paragraphedeliste"/>
        <w:numPr>
          <w:ilvl w:val="0"/>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 xml:space="preserve">مدى توافق المرجع الوطني </w:t>
      </w:r>
      <w:r>
        <w:rPr>
          <w:rFonts w:ascii="Traditional Arabic" w:eastAsia="Calibri" w:hAnsi="Traditional Arabic" w:cs="Traditional Arabic"/>
          <w:b/>
          <w:bCs/>
          <w:sz w:val="28"/>
          <w:szCs w:val="28"/>
        </w:rPr>
        <w:t>RNAQ-ESRS 2023</w:t>
      </w:r>
      <w:r>
        <w:rPr>
          <w:rFonts w:ascii="Traditional Arabic" w:eastAsia="Calibri" w:hAnsi="Traditional Arabic" w:cs="Traditional Arabic" w:hint="cs"/>
          <w:b/>
          <w:bCs/>
          <w:sz w:val="28"/>
          <w:szCs w:val="28"/>
          <w:rtl/>
        </w:rPr>
        <w:t xml:space="preserve"> مع التوجهات الاستراتيجية الجديدة</w:t>
      </w:r>
    </w:p>
    <w:p w:rsidR="00E470A5" w:rsidRDefault="00E470A5" w:rsidP="00E470A5">
      <w:pPr>
        <w:bidi/>
        <w:jc w:val="both"/>
        <w:rPr>
          <w:rFonts w:ascii="Traditional Arabic" w:eastAsia="Calibri" w:hAnsi="Traditional Arabic" w:cs="Traditional Arabic"/>
          <w:sz w:val="28"/>
          <w:szCs w:val="28"/>
          <w:rtl/>
        </w:rPr>
      </w:pPr>
      <w:r w:rsidRPr="000D7229">
        <w:rPr>
          <w:rFonts w:ascii="Traditional Arabic" w:eastAsia="Calibri" w:hAnsi="Traditional Arabic" w:cs="Traditional Arabic" w:hint="cs"/>
          <w:sz w:val="28"/>
          <w:szCs w:val="28"/>
          <w:rtl/>
        </w:rPr>
        <w:t xml:space="preserve">تؤكد </w:t>
      </w:r>
      <w:r w:rsidR="000D7229" w:rsidRPr="000D7229">
        <w:rPr>
          <w:rFonts w:ascii="Traditional Arabic" w:eastAsia="Calibri" w:hAnsi="Traditional Arabic" w:cs="Traditional Arabic" w:hint="cs"/>
          <w:sz w:val="28"/>
          <w:szCs w:val="28"/>
          <w:rtl/>
          <w:lang w:bidi="ar-DZ"/>
        </w:rPr>
        <w:t xml:space="preserve">التوجهات الاستراتيجية الجديدة لقطاع التعليم العالي أن </w:t>
      </w:r>
      <w:r w:rsidR="000D7229" w:rsidRPr="000D7229">
        <w:rPr>
          <w:rFonts w:ascii="Traditional Arabic" w:eastAsia="Calibri" w:hAnsi="Traditional Arabic" w:cs="Traditional Arabic" w:hint="cs"/>
          <w:sz w:val="28"/>
          <w:szCs w:val="28"/>
          <w:rtl/>
        </w:rPr>
        <w:t xml:space="preserve">المرجع الوطني </w:t>
      </w:r>
      <w:r w:rsidR="000D7229" w:rsidRPr="000D7229">
        <w:rPr>
          <w:rFonts w:ascii="Traditional Arabic" w:eastAsia="Calibri" w:hAnsi="Traditional Arabic" w:cs="Traditional Arabic"/>
          <w:sz w:val="28"/>
          <w:szCs w:val="28"/>
        </w:rPr>
        <w:t>RNAQ-ESRS 2023</w:t>
      </w:r>
      <w:r w:rsidR="000D7229">
        <w:rPr>
          <w:rFonts w:ascii="Traditional Arabic" w:eastAsia="Calibri" w:hAnsi="Traditional Arabic" w:cs="Traditional Arabic" w:hint="cs"/>
          <w:sz w:val="28"/>
          <w:szCs w:val="28"/>
          <w:rtl/>
        </w:rPr>
        <w:t xml:space="preserve"> ليس مجرد أداة لتقييم الأداء الجامعي، بل يمثل إطارا مرجعيا لتوجيه المؤسسات نحو الارتقاء بجودة التعليم والبحث، وتعزيز موقع الجامعات الجزائرية في المحيطين الوطني والدولي.</w:t>
      </w:r>
    </w:p>
    <w:p w:rsidR="004855E4" w:rsidRDefault="004855E4" w:rsidP="004855E4">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يوضح الجدول التالي الربط بين المجالات الثمانية والتوجهات الاستراتيجية للقطاع.</w:t>
      </w:r>
    </w:p>
    <w:p w:rsidR="004855E4" w:rsidRDefault="004855E4" w:rsidP="004855E4">
      <w:pPr>
        <w:bidi/>
        <w:jc w:val="center"/>
        <w:rPr>
          <w:rFonts w:ascii="Traditional Arabic" w:eastAsia="Calibri" w:hAnsi="Traditional Arabic" w:cs="Traditional Arabic"/>
          <w:b/>
          <w:bCs/>
          <w:sz w:val="28"/>
          <w:szCs w:val="28"/>
          <w:rtl/>
        </w:rPr>
      </w:pPr>
      <w:r w:rsidRPr="004855E4">
        <w:rPr>
          <w:rFonts w:ascii="Traditional Arabic" w:eastAsia="Calibri" w:hAnsi="Traditional Arabic" w:cs="Traditional Arabic" w:hint="cs"/>
          <w:b/>
          <w:bCs/>
          <w:sz w:val="28"/>
          <w:szCs w:val="28"/>
          <w:rtl/>
        </w:rPr>
        <w:t>الجدول (</w:t>
      </w:r>
      <w:r w:rsidR="00457561">
        <w:rPr>
          <w:rFonts w:ascii="Traditional Arabic" w:eastAsia="Calibri" w:hAnsi="Traditional Arabic" w:cs="Traditional Arabic" w:hint="cs"/>
          <w:b/>
          <w:bCs/>
          <w:sz w:val="28"/>
          <w:szCs w:val="28"/>
          <w:rtl/>
        </w:rPr>
        <w:t>07</w:t>
      </w:r>
      <w:r w:rsidRPr="004855E4">
        <w:rPr>
          <w:rFonts w:ascii="Traditional Arabic" w:eastAsia="Calibri" w:hAnsi="Traditional Arabic" w:cs="Traditional Arabic" w:hint="cs"/>
          <w:b/>
          <w:bCs/>
          <w:sz w:val="28"/>
          <w:szCs w:val="28"/>
          <w:rtl/>
        </w:rPr>
        <w:t>): الربط بين المجالات الثمانية والتوجهات الاستراتيجية</w:t>
      </w:r>
    </w:p>
    <w:tbl>
      <w:tblPr>
        <w:tblStyle w:val="Grilledutableau"/>
        <w:bidiVisual/>
        <w:tblW w:w="0" w:type="auto"/>
        <w:tblLook w:val="04A0" w:firstRow="1" w:lastRow="0" w:firstColumn="1" w:lastColumn="0" w:noHBand="0" w:noVBand="1"/>
      </w:tblPr>
      <w:tblGrid>
        <w:gridCol w:w="1420"/>
        <w:gridCol w:w="1276"/>
        <w:gridCol w:w="1276"/>
        <w:gridCol w:w="1417"/>
        <w:gridCol w:w="1083"/>
        <w:gridCol w:w="1295"/>
        <w:gridCol w:w="1295"/>
      </w:tblGrid>
      <w:tr w:rsidR="004855E4" w:rsidTr="00835960">
        <w:tc>
          <w:tcPr>
            <w:tcW w:w="1420" w:type="dxa"/>
          </w:tcPr>
          <w:p w:rsidR="004855E4" w:rsidRPr="00835960" w:rsidRDefault="004855E4"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المجالات الثمانية للمرجع</w:t>
            </w:r>
          </w:p>
        </w:tc>
        <w:tc>
          <w:tcPr>
            <w:tcW w:w="1276" w:type="dxa"/>
          </w:tcPr>
          <w:p w:rsidR="004855E4" w:rsidRPr="00835960" w:rsidRDefault="004855E4"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التدويل والانفتاح الدولي</w:t>
            </w:r>
          </w:p>
        </w:tc>
        <w:tc>
          <w:tcPr>
            <w:tcW w:w="1276"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الابتكار وربط الجامعة بالمحيط الاقتصادي</w:t>
            </w:r>
          </w:p>
        </w:tc>
        <w:tc>
          <w:tcPr>
            <w:tcW w:w="1417" w:type="dxa"/>
          </w:tcPr>
          <w:p w:rsidR="004855E4" w:rsidRPr="00835960" w:rsidRDefault="00835960" w:rsidP="004855E4">
            <w:pPr>
              <w:bidi/>
              <w:jc w:val="center"/>
              <w:rPr>
                <w:rFonts w:ascii="Traditional Arabic" w:eastAsia="Calibri" w:hAnsi="Traditional Arabic" w:cs="Traditional Arabic"/>
                <w:b/>
                <w:bCs/>
                <w:rtl/>
              </w:rPr>
            </w:pPr>
            <w:proofErr w:type="spellStart"/>
            <w:r w:rsidRPr="00835960">
              <w:rPr>
                <w:rFonts w:ascii="Traditional Arabic" w:eastAsia="Calibri" w:hAnsi="Traditional Arabic" w:cs="Traditional Arabic"/>
                <w:b/>
                <w:bCs/>
                <w:rtl/>
              </w:rPr>
              <w:t>الحوكمة</w:t>
            </w:r>
            <w:proofErr w:type="spellEnd"/>
            <w:r w:rsidRPr="00835960">
              <w:rPr>
                <w:rFonts w:ascii="Traditional Arabic" w:eastAsia="Calibri" w:hAnsi="Traditional Arabic" w:cs="Traditional Arabic"/>
                <w:b/>
                <w:bCs/>
                <w:rtl/>
              </w:rPr>
              <w:t xml:space="preserve"> الرشيدة </w:t>
            </w:r>
            <w:proofErr w:type="spellStart"/>
            <w:r w:rsidRPr="00835960">
              <w:rPr>
                <w:rFonts w:ascii="Traditional Arabic" w:eastAsia="Calibri" w:hAnsi="Traditional Arabic" w:cs="Traditional Arabic"/>
                <w:b/>
                <w:bCs/>
                <w:rtl/>
              </w:rPr>
              <w:t>والرقمنة</w:t>
            </w:r>
            <w:proofErr w:type="spellEnd"/>
          </w:p>
        </w:tc>
        <w:tc>
          <w:tcPr>
            <w:tcW w:w="1083"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تحسين جودة الحياة الجامعية</w:t>
            </w:r>
          </w:p>
        </w:tc>
        <w:tc>
          <w:tcPr>
            <w:tcW w:w="1295"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ادماج البعد البيئي والاجتماعي</w:t>
            </w:r>
          </w:p>
        </w:tc>
        <w:tc>
          <w:tcPr>
            <w:tcW w:w="1295"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مواءمة مخرجات التعليم مع سوق العمل</w:t>
            </w: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 xml:space="preserve">التكوين </w:t>
            </w:r>
          </w:p>
        </w:tc>
        <w:tc>
          <w:tcPr>
            <w:tcW w:w="1276" w:type="dxa"/>
          </w:tcPr>
          <w:p w:rsidR="004855E4" w:rsidRPr="00835960" w:rsidRDefault="00835960" w:rsidP="004855E4">
            <w:pPr>
              <w:bidi/>
              <w:jc w:val="center"/>
              <w:rPr>
                <w:rFonts w:ascii="Traditional Arabic" w:eastAsia="Calibri" w:hAnsi="Traditional Arabic" w:cs="Traditional Arabic"/>
                <w:b/>
                <w:bCs/>
              </w:rPr>
            </w:pPr>
            <w:r>
              <w:rPr>
                <w:rFonts w:ascii="Traditional Arabic" w:eastAsia="Calibri" w:hAnsi="Traditional Arabic" w:cs="Traditional Arabic"/>
                <w:b/>
                <w:bCs/>
              </w:rPr>
              <w:t>X</w:t>
            </w:r>
          </w:p>
        </w:tc>
        <w:tc>
          <w:tcPr>
            <w:tcW w:w="1276"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417"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083"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البحث والابتكار</w:t>
            </w:r>
          </w:p>
        </w:tc>
        <w:tc>
          <w:tcPr>
            <w:tcW w:w="1276"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76"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417" w:type="dxa"/>
          </w:tcPr>
          <w:p w:rsidR="004855E4" w:rsidRPr="00835960" w:rsidRDefault="004855E4" w:rsidP="004855E4">
            <w:pPr>
              <w:bidi/>
              <w:jc w:val="center"/>
              <w:rPr>
                <w:rFonts w:ascii="Traditional Arabic" w:eastAsia="Calibri" w:hAnsi="Traditional Arabic" w:cs="Traditional Arabic"/>
                <w:b/>
                <w:bCs/>
                <w:rtl/>
              </w:rPr>
            </w:pPr>
          </w:p>
        </w:tc>
        <w:tc>
          <w:tcPr>
            <w:tcW w:w="1083"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proofErr w:type="spellStart"/>
            <w:r w:rsidRPr="00835960">
              <w:rPr>
                <w:rFonts w:ascii="Traditional Arabic" w:eastAsia="Calibri" w:hAnsi="Traditional Arabic" w:cs="Traditional Arabic"/>
                <w:b/>
                <w:bCs/>
                <w:rtl/>
              </w:rPr>
              <w:t>الحوكمة</w:t>
            </w:r>
            <w:proofErr w:type="spellEnd"/>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417"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083"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الحياة الجامعية</w:t>
            </w: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417" w:type="dxa"/>
          </w:tcPr>
          <w:p w:rsidR="004855E4" w:rsidRPr="00835960" w:rsidRDefault="004855E4" w:rsidP="004855E4">
            <w:pPr>
              <w:bidi/>
              <w:jc w:val="center"/>
              <w:rPr>
                <w:rFonts w:ascii="Traditional Arabic" w:eastAsia="Calibri" w:hAnsi="Traditional Arabic" w:cs="Traditional Arabic"/>
                <w:b/>
                <w:bCs/>
                <w:rtl/>
              </w:rPr>
            </w:pPr>
          </w:p>
        </w:tc>
        <w:tc>
          <w:tcPr>
            <w:tcW w:w="1083"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البنى التحتية</w:t>
            </w: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417"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083"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95"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95" w:type="dxa"/>
          </w:tcPr>
          <w:p w:rsidR="004855E4" w:rsidRPr="00835960" w:rsidRDefault="004855E4" w:rsidP="004855E4">
            <w:pPr>
              <w:bidi/>
              <w:jc w:val="center"/>
              <w:rPr>
                <w:rFonts w:ascii="Traditional Arabic" w:eastAsia="Calibri" w:hAnsi="Traditional Arabic" w:cs="Traditional Arabic"/>
                <w:b/>
                <w:bCs/>
                <w:rtl/>
              </w:rPr>
            </w:pP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العلاقات مع المحيط الاقتصادي والاجتماعي</w:t>
            </w: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276"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417" w:type="dxa"/>
          </w:tcPr>
          <w:p w:rsidR="004855E4" w:rsidRPr="00835960" w:rsidRDefault="004855E4" w:rsidP="004855E4">
            <w:pPr>
              <w:bidi/>
              <w:jc w:val="center"/>
              <w:rPr>
                <w:rFonts w:ascii="Traditional Arabic" w:eastAsia="Calibri" w:hAnsi="Traditional Arabic" w:cs="Traditional Arabic"/>
                <w:b/>
                <w:bCs/>
                <w:rtl/>
              </w:rPr>
            </w:pPr>
          </w:p>
        </w:tc>
        <w:tc>
          <w:tcPr>
            <w:tcW w:w="1083"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r>
      <w:tr w:rsidR="004855E4" w:rsidTr="00835960">
        <w:tc>
          <w:tcPr>
            <w:tcW w:w="1420" w:type="dxa"/>
          </w:tcPr>
          <w:p w:rsidR="004855E4"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التعاون الدولي</w:t>
            </w:r>
          </w:p>
        </w:tc>
        <w:tc>
          <w:tcPr>
            <w:tcW w:w="1276" w:type="dxa"/>
          </w:tcPr>
          <w:p w:rsidR="004855E4"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76" w:type="dxa"/>
          </w:tcPr>
          <w:p w:rsidR="004855E4" w:rsidRPr="00835960" w:rsidRDefault="004855E4" w:rsidP="004855E4">
            <w:pPr>
              <w:bidi/>
              <w:jc w:val="center"/>
              <w:rPr>
                <w:rFonts w:ascii="Traditional Arabic" w:eastAsia="Calibri" w:hAnsi="Traditional Arabic" w:cs="Traditional Arabic"/>
                <w:b/>
                <w:bCs/>
                <w:rtl/>
              </w:rPr>
            </w:pPr>
          </w:p>
        </w:tc>
        <w:tc>
          <w:tcPr>
            <w:tcW w:w="1417" w:type="dxa"/>
          </w:tcPr>
          <w:p w:rsidR="004855E4" w:rsidRPr="00835960" w:rsidRDefault="004855E4" w:rsidP="004855E4">
            <w:pPr>
              <w:bidi/>
              <w:jc w:val="center"/>
              <w:rPr>
                <w:rFonts w:ascii="Traditional Arabic" w:eastAsia="Calibri" w:hAnsi="Traditional Arabic" w:cs="Traditional Arabic"/>
                <w:b/>
                <w:bCs/>
                <w:rtl/>
              </w:rPr>
            </w:pPr>
          </w:p>
        </w:tc>
        <w:tc>
          <w:tcPr>
            <w:tcW w:w="1083"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c>
          <w:tcPr>
            <w:tcW w:w="1295" w:type="dxa"/>
          </w:tcPr>
          <w:p w:rsidR="004855E4" w:rsidRPr="00835960" w:rsidRDefault="004855E4" w:rsidP="004855E4">
            <w:pPr>
              <w:bidi/>
              <w:jc w:val="center"/>
              <w:rPr>
                <w:rFonts w:ascii="Traditional Arabic" w:eastAsia="Calibri" w:hAnsi="Traditional Arabic" w:cs="Traditional Arabic"/>
                <w:b/>
                <w:bCs/>
                <w:rtl/>
              </w:rPr>
            </w:pPr>
          </w:p>
        </w:tc>
      </w:tr>
      <w:tr w:rsidR="00835960" w:rsidTr="00835960">
        <w:tc>
          <w:tcPr>
            <w:tcW w:w="1420" w:type="dxa"/>
          </w:tcPr>
          <w:p w:rsidR="00835960" w:rsidRPr="00835960" w:rsidRDefault="00835960" w:rsidP="004855E4">
            <w:pPr>
              <w:bidi/>
              <w:jc w:val="center"/>
              <w:rPr>
                <w:rFonts w:ascii="Traditional Arabic" w:eastAsia="Calibri" w:hAnsi="Traditional Arabic" w:cs="Traditional Arabic"/>
                <w:b/>
                <w:bCs/>
                <w:rtl/>
              </w:rPr>
            </w:pPr>
            <w:r w:rsidRPr="00835960">
              <w:rPr>
                <w:rFonts w:ascii="Traditional Arabic" w:eastAsia="Calibri" w:hAnsi="Traditional Arabic" w:cs="Traditional Arabic"/>
                <w:b/>
                <w:bCs/>
                <w:rtl/>
              </w:rPr>
              <w:t>المسؤولية المجتمعية والتنمية المستدامة</w:t>
            </w:r>
          </w:p>
        </w:tc>
        <w:tc>
          <w:tcPr>
            <w:tcW w:w="1276" w:type="dxa"/>
          </w:tcPr>
          <w:p w:rsidR="00835960" w:rsidRPr="00835960" w:rsidRDefault="00835960" w:rsidP="004855E4">
            <w:pPr>
              <w:bidi/>
              <w:jc w:val="center"/>
              <w:rPr>
                <w:rFonts w:ascii="Traditional Arabic" w:eastAsia="Calibri" w:hAnsi="Traditional Arabic" w:cs="Traditional Arabic"/>
                <w:b/>
                <w:bCs/>
                <w:rtl/>
              </w:rPr>
            </w:pPr>
          </w:p>
        </w:tc>
        <w:tc>
          <w:tcPr>
            <w:tcW w:w="1276" w:type="dxa"/>
          </w:tcPr>
          <w:p w:rsidR="00835960" w:rsidRPr="00835960" w:rsidRDefault="00835960" w:rsidP="004855E4">
            <w:pPr>
              <w:bidi/>
              <w:jc w:val="center"/>
              <w:rPr>
                <w:rFonts w:ascii="Traditional Arabic" w:eastAsia="Calibri" w:hAnsi="Traditional Arabic" w:cs="Traditional Arabic"/>
                <w:b/>
                <w:bCs/>
                <w:rtl/>
              </w:rPr>
            </w:pPr>
          </w:p>
        </w:tc>
        <w:tc>
          <w:tcPr>
            <w:tcW w:w="1417" w:type="dxa"/>
          </w:tcPr>
          <w:p w:rsidR="00835960" w:rsidRPr="00835960" w:rsidRDefault="00835960" w:rsidP="004855E4">
            <w:pPr>
              <w:bidi/>
              <w:jc w:val="center"/>
              <w:rPr>
                <w:rFonts w:ascii="Traditional Arabic" w:eastAsia="Calibri" w:hAnsi="Traditional Arabic" w:cs="Traditional Arabic"/>
                <w:b/>
                <w:bCs/>
                <w:rtl/>
              </w:rPr>
            </w:pPr>
          </w:p>
        </w:tc>
        <w:tc>
          <w:tcPr>
            <w:tcW w:w="1083" w:type="dxa"/>
          </w:tcPr>
          <w:p w:rsidR="00835960" w:rsidRPr="00835960" w:rsidRDefault="00835960" w:rsidP="004855E4">
            <w:pPr>
              <w:bidi/>
              <w:jc w:val="center"/>
              <w:rPr>
                <w:rFonts w:ascii="Traditional Arabic" w:eastAsia="Calibri" w:hAnsi="Traditional Arabic" w:cs="Traditional Arabic"/>
                <w:b/>
                <w:bCs/>
                <w:rtl/>
              </w:rPr>
            </w:pPr>
          </w:p>
        </w:tc>
        <w:tc>
          <w:tcPr>
            <w:tcW w:w="1295" w:type="dxa"/>
          </w:tcPr>
          <w:p w:rsidR="00835960" w:rsidRPr="00835960" w:rsidRDefault="00835960" w:rsidP="004855E4">
            <w:pPr>
              <w:bidi/>
              <w:jc w:val="center"/>
              <w:rPr>
                <w:rFonts w:ascii="Traditional Arabic" w:eastAsia="Calibri" w:hAnsi="Traditional Arabic" w:cs="Traditional Arabic"/>
                <w:b/>
                <w:bCs/>
                <w:rtl/>
              </w:rPr>
            </w:pPr>
            <w:r>
              <w:rPr>
                <w:rFonts w:ascii="Traditional Arabic" w:eastAsia="Calibri" w:hAnsi="Traditional Arabic" w:cs="Traditional Arabic"/>
                <w:b/>
                <w:bCs/>
              </w:rPr>
              <w:t>X</w:t>
            </w:r>
          </w:p>
        </w:tc>
        <w:tc>
          <w:tcPr>
            <w:tcW w:w="1295" w:type="dxa"/>
          </w:tcPr>
          <w:p w:rsidR="00835960" w:rsidRPr="00835960" w:rsidRDefault="00835960" w:rsidP="004855E4">
            <w:pPr>
              <w:bidi/>
              <w:jc w:val="center"/>
              <w:rPr>
                <w:rFonts w:ascii="Traditional Arabic" w:eastAsia="Calibri" w:hAnsi="Traditional Arabic" w:cs="Traditional Arabic"/>
                <w:b/>
                <w:bCs/>
                <w:rtl/>
              </w:rPr>
            </w:pPr>
          </w:p>
        </w:tc>
      </w:tr>
    </w:tbl>
    <w:p w:rsidR="00457561" w:rsidRDefault="00457561" w:rsidP="00A569EE">
      <w:pPr>
        <w:bidi/>
        <w:rPr>
          <w:rFonts w:ascii="Traditional Arabic" w:eastAsia="Calibri" w:hAnsi="Traditional Arabic" w:cs="Traditional Arabic"/>
          <w:sz w:val="28"/>
          <w:szCs w:val="28"/>
          <w:rtl/>
        </w:rPr>
      </w:pPr>
      <w:r>
        <w:rPr>
          <w:rFonts w:ascii="Traditional Arabic" w:eastAsia="Calibri" w:hAnsi="Traditional Arabic" w:cs="Traditional Arabic" w:hint="cs"/>
          <w:b/>
          <w:bCs/>
          <w:sz w:val="28"/>
          <w:szCs w:val="28"/>
          <w:rtl/>
          <w:lang w:bidi="ar-DZ"/>
        </w:rPr>
        <w:t xml:space="preserve">المصدر: </w:t>
      </w:r>
      <w:r w:rsidR="004702F5">
        <w:rPr>
          <w:rFonts w:ascii="Traditional Arabic" w:eastAsia="Calibri" w:hAnsi="Traditional Arabic" w:cs="Traditional Arabic" w:hint="cs"/>
          <w:sz w:val="28"/>
          <w:szCs w:val="28"/>
          <w:rtl/>
          <w:lang w:bidi="ar-DZ"/>
        </w:rPr>
        <w:t xml:space="preserve">من إعداد الباحثتين </w:t>
      </w:r>
      <w:r w:rsidRPr="00F975C5">
        <w:rPr>
          <w:rFonts w:ascii="Traditional Arabic" w:eastAsia="Calibri" w:hAnsi="Traditional Arabic" w:cs="Traditional Arabic" w:hint="cs"/>
          <w:sz w:val="28"/>
          <w:szCs w:val="28"/>
          <w:rtl/>
          <w:lang w:bidi="ar-DZ"/>
        </w:rPr>
        <w:t xml:space="preserve">بالاعتماد على </w:t>
      </w:r>
      <w:r w:rsidR="004702F5">
        <w:rPr>
          <w:rFonts w:ascii="Traditional Arabic" w:eastAsia="Calibri" w:hAnsi="Traditional Arabic" w:cs="Traditional Arabic" w:hint="cs"/>
          <w:sz w:val="28"/>
          <w:szCs w:val="28"/>
          <w:rtl/>
          <w:lang w:bidi="ar-DZ"/>
        </w:rPr>
        <w:t>معطيات العنصر السابق</w:t>
      </w:r>
    </w:p>
    <w:p w:rsidR="004855E4" w:rsidRDefault="004855E4" w:rsidP="00457561">
      <w:pPr>
        <w:bidi/>
        <w:jc w:val="both"/>
        <w:rPr>
          <w:rFonts w:ascii="Traditional Arabic" w:eastAsia="Calibri" w:hAnsi="Traditional Arabic" w:cs="Traditional Arabic"/>
          <w:sz w:val="28"/>
          <w:szCs w:val="28"/>
          <w:rtl/>
        </w:rPr>
      </w:pPr>
      <w:r>
        <w:rPr>
          <w:rFonts w:ascii="Traditional Arabic" w:eastAsia="Calibri" w:hAnsi="Traditional Arabic" w:cs="Traditional Arabic" w:hint="cs"/>
          <w:sz w:val="28"/>
          <w:szCs w:val="28"/>
          <w:rtl/>
        </w:rPr>
        <w:t xml:space="preserve">يتضح من خلال الجدول </w:t>
      </w:r>
      <w:r w:rsidR="0046783E">
        <w:rPr>
          <w:rFonts w:ascii="Traditional Arabic" w:eastAsia="Calibri" w:hAnsi="Traditional Arabic" w:cs="Traditional Arabic" w:hint="cs"/>
          <w:sz w:val="28"/>
          <w:szCs w:val="28"/>
          <w:rtl/>
        </w:rPr>
        <w:t>السابق أن المرجع الوطني يغطي معظ</w:t>
      </w:r>
      <w:r>
        <w:rPr>
          <w:rFonts w:ascii="Traditional Arabic" w:eastAsia="Calibri" w:hAnsi="Traditional Arabic" w:cs="Traditional Arabic" w:hint="cs"/>
          <w:sz w:val="28"/>
          <w:szCs w:val="28"/>
          <w:rtl/>
        </w:rPr>
        <w:t>م أبعاد التوجهات الاستراتيجية الجديدة بشكل متكامل. ورغم شمولية المرجع، إلا أن هناك بعض الفجوات والتحديات الرئيسية والمتمثلة أساسا في:</w:t>
      </w:r>
    </w:p>
    <w:p w:rsidR="004855E4" w:rsidRDefault="004855E4" w:rsidP="004855E4">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lastRenderedPageBreak/>
        <w:t>ضعف قدرات بعض الجامعات في استقطاب الطلبة الأجانب بسبب قيود اللغة أو ضعف الخدمات الداعمة.</w:t>
      </w:r>
    </w:p>
    <w:p w:rsidR="004855E4" w:rsidRDefault="004855E4" w:rsidP="004855E4">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محدودية الموارد المالية والبشرية لتفعيل حاضنات الابتكار ومشاريع الشركات الناشئة.</w:t>
      </w:r>
    </w:p>
    <w:p w:rsidR="004855E4" w:rsidRDefault="0046783E" w:rsidP="004855E4">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lang w:bidi="ar-DZ"/>
        </w:rPr>
        <w:t>بطء في توحيد نظم المعلومات على مستوى كل الجامعات، وعدم توفر كفاءات كافية لإدارتها.</w:t>
      </w:r>
    </w:p>
    <w:p w:rsidR="0046783E" w:rsidRDefault="0046783E" w:rsidP="0046783E">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lang w:bidi="ar-DZ"/>
        </w:rPr>
        <w:t>نقص في مرافق الترفيه والدعم النفسي داخل العديد من الجامعات، خاصة في المناطق الداخلية.</w:t>
      </w:r>
    </w:p>
    <w:p w:rsidR="0046783E" w:rsidRDefault="0046783E" w:rsidP="0046783E">
      <w:pPr>
        <w:pStyle w:val="Paragraphedeliste"/>
        <w:numPr>
          <w:ilvl w:val="0"/>
          <w:numId w:val="2"/>
        </w:numPr>
        <w:bidi/>
        <w:jc w:val="both"/>
        <w:rPr>
          <w:rFonts w:ascii="Traditional Arabic" w:eastAsia="Calibri" w:hAnsi="Traditional Arabic" w:cs="Traditional Arabic" w:hint="cs"/>
          <w:sz w:val="28"/>
          <w:szCs w:val="28"/>
        </w:rPr>
      </w:pPr>
      <w:r>
        <w:rPr>
          <w:rFonts w:ascii="Traditional Arabic" w:eastAsia="Calibri" w:hAnsi="Traditional Arabic" w:cs="Traditional Arabic" w:hint="cs"/>
          <w:sz w:val="28"/>
          <w:szCs w:val="28"/>
          <w:rtl/>
          <w:lang w:bidi="ar-DZ"/>
        </w:rPr>
        <w:t>ضعف ثقافة التنمية المستدامة داخل الوسط الجامعي، وقلة البرامج البيئية المؤسسية</w:t>
      </w:r>
    </w:p>
    <w:p w:rsidR="0046783E" w:rsidRPr="004855E4" w:rsidRDefault="0046783E" w:rsidP="0046783E">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lang w:bidi="ar-DZ"/>
        </w:rPr>
        <w:t>عدم كفاية التنسيق مع القطاع الاقتصادي لتحديد المهارات المطلوبة بصفة دورية.</w:t>
      </w:r>
    </w:p>
    <w:p w:rsidR="00E47D61" w:rsidRDefault="005B540C">
      <w:pPr>
        <w:pStyle w:val="Paragraphedeliste"/>
        <w:numPr>
          <w:ilvl w:val="0"/>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 xml:space="preserve">التوصيات العملية لتعزيز فعالية تطبيق </w:t>
      </w:r>
      <w:r>
        <w:rPr>
          <w:rFonts w:ascii="Traditional Arabic" w:eastAsia="Calibri" w:hAnsi="Traditional Arabic" w:cs="Traditional Arabic"/>
          <w:b/>
          <w:bCs/>
          <w:sz w:val="28"/>
          <w:szCs w:val="28"/>
        </w:rPr>
        <w:t>RNAQ-ESRS 2023</w:t>
      </w:r>
    </w:p>
    <w:p w:rsidR="00EE4EEF" w:rsidRPr="002202B0" w:rsidRDefault="002202B0" w:rsidP="005A703B">
      <w:pPr>
        <w:bidi/>
        <w:jc w:val="both"/>
        <w:rPr>
          <w:rFonts w:ascii="Traditional Arabic" w:eastAsia="Calibri" w:hAnsi="Traditional Arabic" w:cs="Traditional Arabic"/>
          <w:sz w:val="28"/>
          <w:szCs w:val="28"/>
        </w:rPr>
      </w:pPr>
      <w:r w:rsidRPr="002202B0">
        <w:rPr>
          <w:rFonts w:ascii="Traditional Arabic" w:eastAsia="Calibri" w:hAnsi="Traditional Arabic" w:cs="Traditional Arabic" w:hint="cs"/>
          <w:sz w:val="28"/>
          <w:szCs w:val="28"/>
          <w:rtl/>
        </w:rPr>
        <w:t>انطلاقا من التحليل السابق والفجوات التي واجهتها الجامعات الجزائرية، يمكن اقتراح مجموعة من التوصيات العملية التي تضمن تفعيل المرجع الوطني بشكل فعال ومتوازن عبر مختلف المؤسسات.</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التوصيات المرتبطة بال</w:t>
      </w:r>
      <w:r w:rsidR="002202B0">
        <w:rPr>
          <w:rFonts w:ascii="Traditional Arabic" w:eastAsia="Calibri" w:hAnsi="Traditional Arabic" w:cs="Traditional Arabic" w:hint="cs"/>
          <w:b/>
          <w:bCs/>
          <w:sz w:val="28"/>
          <w:szCs w:val="28"/>
          <w:rtl/>
        </w:rPr>
        <w:t>ت</w:t>
      </w:r>
      <w:r>
        <w:rPr>
          <w:rFonts w:ascii="Traditional Arabic" w:eastAsia="Calibri" w:hAnsi="Traditional Arabic" w:cs="Traditional Arabic" w:hint="cs"/>
          <w:b/>
          <w:bCs/>
          <w:sz w:val="28"/>
          <w:szCs w:val="28"/>
          <w:rtl/>
        </w:rPr>
        <w:t>وجهات الاستراتيجية</w:t>
      </w:r>
    </w:p>
    <w:p w:rsidR="002202B0" w:rsidRPr="002202B0" w:rsidRDefault="002202B0" w:rsidP="002202B0">
      <w:pPr>
        <w:bidi/>
        <w:jc w:val="both"/>
        <w:rPr>
          <w:rFonts w:ascii="Traditional Arabic" w:eastAsia="Calibri" w:hAnsi="Traditional Arabic" w:cs="Traditional Arabic"/>
          <w:sz w:val="28"/>
          <w:szCs w:val="28"/>
          <w:rtl/>
        </w:rPr>
      </w:pPr>
      <w:r w:rsidRPr="002202B0">
        <w:rPr>
          <w:rFonts w:ascii="Traditional Arabic" w:eastAsia="Calibri" w:hAnsi="Traditional Arabic" w:cs="Traditional Arabic" w:hint="cs"/>
          <w:sz w:val="28"/>
          <w:szCs w:val="28"/>
          <w:rtl/>
        </w:rPr>
        <w:t>تتمثل أهم التوصيات المرتبطة ب</w:t>
      </w:r>
      <w:r>
        <w:rPr>
          <w:rFonts w:ascii="Traditional Arabic" w:eastAsia="Calibri" w:hAnsi="Traditional Arabic" w:cs="Traditional Arabic" w:hint="cs"/>
          <w:sz w:val="28"/>
          <w:szCs w:val="28"/>
          <w:rtl/>
        </w:rPr>
        <w:t>التوجهات الاستراتيجية في</w:t>
      </w:r>
      <w:r w:rsidRPr="002202B0">
        <w:rPr>
          <w:rFonts w:ascii="Traditional Arabic" w:eastAsia="Calibri" w:hAnsi="Traditional Arabic" w:cs="Traditional Arabic" w:hint="cs"/>
          <w:sz w:val="28"/>
          <w:szCs w:val="28"/>
          <w:rtl/>
        </w:rPr>
        <w:t>ما يلي:</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sidRPr="002202B0">
        <w:rPr>
          <w:rFonts w:ascii="Traditional Arabic" w:eastAsia="Calibri" w:hAnsi="Traditional Arabic" w:cs="Traditional Arabic" w:hint="cs"/>
          <w:sz w:val="28"/>
          <w:szCs w:val="28"/>
          <w:rtl/>
        </w:rPr>
        <w:t xml:space="preserve">إنشاء برامج أكاديمية باللغة </w:t>
      </w:r>
      <w:r>
        <w:rPr>
          <w:rFonts w:ascii="Traditional Arabic" w:eastAsia="Calibri" w:hAnsi="Traditional Arabic" w:cs="Traditional Arabic" w:hint="cs"/>
          <w:sz w:val="28"/>
          <w:szCs w:val="28"/>
          <w:rtl/>
        </w:rPr>
        <w:t>الإنجليزية والفرنسية لتسهيل استقطاب الكلبة الأجانب</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تطوير خدمات الدعم الأكاديمي والاجتماعي للأجانب (الإقامة، الإدماج الثقافي).</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تخصيص تمويلات مستدامة لدعم حاضنات المشاريع.</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عقد شراكات استراتيجية مع القطاع الاقتصادي لتسويق الابتكارات.</w:t>
      </w:r>
    </w:p>
    <w:p w:rsidR="002202B0" w:rsidRDefault="002202B0" w:rsidP="002202B0">
      <w:pPr>
        <w:pStyle w:val="Paragraphedeliste"/>
        <w:numPr>
          <w:ilvl w:val="0"/>
          <w:numId w:val="2"/>
        </w:numPr>
        <w:bidi/>
        <w:jc w:val="both"/>
        <w:rPr>
          <w:rFonts w:ascii="Traditional Arabic" w:eastAsia="Calibri" w:hAnsi="Traditional Arabic" w:cs="Traditional Arabic" w:hint="cs"/>
          <w:sz w:val="28"/>
          <w:szCs w:val="28"/>
        </w:rPr>
      </w:pPr>
      <w:r>
        <w:rPr>
          <w:rFonts w:ascii="Traditional Arabic" w:eastAsia="Calibri" w:hAnsi="Traditional Arabic" w:cs="Traditional Arabic" w:hint="cs"/>
          <w:sz w:val="28"/>
          <w:szCs w:val="28"/>
          <w:rtl/>
        </w:rPr>
        <w:t>تعميم النظام المعلوماتي الموحد على جميع الجامعات.</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 xml:space="preserve">تنظيم دورات تكوينية للموظفين الاداريين حول </w:t>
      </w:r>
      <w:proofErr w:type="spellStart"/>
      <w:r>
        <w:rPr>
          <w:rFonts w:ascii="Traditional Arabic" w:eastAsia="Calibri" w:hAnsi="Traditional Arabic" w:cs="Traditional Arabic" w:hint="cs"/>
          <w:sz w:val="28"/>
          <w:szCs w:val="28"/>
          <w:rtl/>
        </w:rPr>
        <w:t>الرقمنة</w:t>
      </w:r>
      <w:proofErr w:type="spellEnd"/>
      <w:r>
        <w:rPr>
          <w:rFonts w:ascii="Traditional Arabic" w:eastAsia="Calibri" w:hAnsi="Traditional Arabic" w:cs="Traditional Arabic" w:hint="cs"/>
          <w:sz w:val="28"/>
          <w:szCs w:val="28"/>
          <w:rtl/>
        </w:rPr>
        <w:t>.</w:t>
      </w:r>
    </w:p>
    <w:p w:rsidR="002202B0" w:rsidRDefault="002202B0"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تحديث الاقامات الجامعية والمطاعم بما يحقق معايير الجودة</w:t>
      </w:r>
      <w:r w:rsidR="009149AD">
        <w:rPr>
          <w:rFonts w:ascii="Traditional Arabic" w:eastAsia="Calibri" w:hAnsi="Traditional Arabic" w:cs="Traditional Arabic" w:hint="cs"/>
          <w:sz w:val="28"/>
          <w:szCs w:val="28"/>
          <w:rtl/>
        </w:rPr>
        <w:t>.</w:t>
      </w:r>
    </w:p>
    <w:p w:rsidR="009149AD" w:rsidRDefault="009149AD" w:rsidP="009149AD">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إنشاء مراكز الدعم النفسي والأكاديمي للطلبة.</w:t>
      </w:r>
    </w:p>
    <w:p w:rsidR="009149AD" w:rsidRDefault="009149AD" w:rsidP="009149AD">
      <w:pPr>
        <w:pStyle w:val="Paragraphedeliste"/>
        <w:numPr>
          <w:ilvl w:val="0"/>
          <w:numId w:val="2"/>
        </w:numPr>
        <w:bidi/>
        <w:jc w:val="both"/>
        <w:rPr>
          <w:rFonts w:ascii="Traditional Arabic" w:eastAsia="Calibri" w:hAnsi="Traditional Arabic" w:cs="Traditional Arabic" w:hint="cs"/>
          <w:sz w:val="28"/>
          <w:szCs w:val="28"/>
        </w:rPr>
      </w:pPr>
      <w:r>
        <w:rPr>
          <w:rFonts w:ascii="Traditional Arabic" w:eastAsia="Calibri" w:hAnsi="Traditional Arabic" w:cs="Traditional Arabic" w:hint="cs"/>
          <w:sz w:val="28"/>
          <w:szCs w:val="28"/>
          <w:rtl/>
        </w:rPr>
        <w:t>وضع خطة مؤسسية للتنمية المستدامة تشمل الطاقة والمياه والنفايات.</w:t>
      </w:r>
    </w:p>
    <w:p w:rsidR="002202B0" w:rsidRDefault="009149AD" w:rsidP="002202B0">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تحفيز المبادرات البيئية الطلابية وربطها بالمسؤولية المجتمعية.</w:t>
      </w:r>
    </w:p>
    <w:p w:rsidR="009149AD" w:rsidRDefault="009149AD" w:rsidP="009149AD">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إشراك القطاع الاقتصادي في مراجعة البرامج التكوينية.</w:t>
      </w:r>
    </w:p>
    <w:p w:rsidR="009149AD" w:rsidRPr="002202B0" w:rsidRDefault="009149AD" w:rsidP="009149AD">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توسيع التكوين التطبيقي داخل المؤسسات الاقتصادية.</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التوصيات المؤسسية العامة</w:t>
      </w:r>
    </w:p>
    <w:p w:rsidR="009149AD" w:rsidRPr="009149AD" w:rsidRDefault="009149AD" w:rsidP="009149AD">
      <w:pPr>
        <w:bidi/>
        <w:jc w:val="both"/>
        <w:rPr>
          <w:rFonts w:ascii="Traditional Arabic" w:eastAsia="Calibri" w:hAnsi="Traditional Arabic" w:cs="Traditional Arabic"/>
          <w:sz w:val="28"/>
          <w:szCs w:val="28"/>
        </w:rPr>
      </w:pPr>
      <w:r w:rsidRPr="009149AD">
        <w:rPr>
          <w:rFonts w:ascii="Traditional Arabic" w:eastAsia="Calibri" w:hAnsi="Traditional Arabic" w:cs="Traditional Arabic" w:hint="cs"/>
          <w:sz w:val="28"/>
          <w:szCs w:val="28"/>
          <w:rtl/>
        </w:rPr>
        <w:t>تتمثل أهم التوصيات المؤسسية العامة فيما يلي:</w:t>
      </w:r>
    </w:p>
    <w:p w:rsidR="009149AD" w:rsidRDefault="009149AD" w:rsidP="009149AD">
      <w:pPr>
        <w:pStyle w:val="Paragraphedeliste"/>
        <w:numPr>
          <w:ilvl w:val="0"/>
          <w:numId w:val="2"/>
        </w:numPr>
        <w:bidi/>
        <w:jc w:val="both"/>
        <w:rPr>
          <w:rFonts w:ascii="Traditional Arabic" w:eastAsia="Calibri" w:hAnsi="Traditional Arabic" w:cs="Traditional Arabic"/>
          <w:sz w:val="28"/>
          <w:szCs w:val="28"/>
        </w:rPr>
      </w:pPr>
      <w:r w:rsidRPr="009149AD">
        <w:rPr>
          <w:rFonts w:ascii="Traditional Arabic" w:eastAsia="Calibri" w:hAnsi="Traditional Arabic" w:cs="Traditional Arabic" w:hint="cs"/>
          <w:sz w:val="28"/>
          <w:szCs w:val="28"/>
          <w:rtl/>
        </w:rPr>
        <w:lastRenderedPageBreak/>
        <w:t>تعزيز القدرات البشرية</w:t>
      </w:r>
      <w:r>
        <w:rPr>
          <w:rFonts w:ascii="Traditional Arabic" w:eastAsia="Calibri" w:hAnsi="Traditional Arabic" w:cs="Traditional Arabic" w:hint="cs"/>
          <w:sz w:val="28"/>
          <w:szCs w:val="28"/>
          <w:rtl/>
        </w:rPr>
        <w:t xml:space="preserve"> من خلال التكوين المستمر لأعضاء خلايا ضمان الجودة والإداريين حول معايير المرجع.</w:t>
      </w:r>
    </w:p>
    <w:p w:rsidR="009149AD" w:rsidRDefault="009149AD" w:rsidP="009149AD">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توظيف خبراء خارجيين لمرافقة الجامعات في عمليات التقييم الداخلي والخارجي.</w:t>
      </w:r>
    </w:p>
    <w:p w:rsidR="009149AD" w:rsidRDefault="008F64C2" w:rsidP="009149AD">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تحفيز التنافسية بين الجا</w:t>
      </w:r>
      <w:r w:rsidR="009149AD">
        <w:rPr>
          <w:rFonts w:ascii="Traditional Arabic" w:eastAsia="Calibri" w:hAnsi="Traditional Arabic" w:cs="Traditional Arabic" w:hint="cs"/>
          <w:sz w:val="28"/>
          <w:szCs w:val="28"/>
          <w:rtl/>
        </w:rPr>
        <w:t xml:space="preserve">معات من خلال نشر نتائج </w:t>
      </w:r>
      <w:r>
        <w:rPr>
          <w:rFonts w:ascii="Traditional Arabic" w:eastAsia="Calibri" w:hAnsi="Traditional Arabic" w:cs="Traditional Arabic" w:hint="cs"/>
          <w:sz w:val="28"/>
          <w:szCs w:val="28"/>
          <w:rtl/>
        </w:rPr>
        <w:t>التقييمات الداخلية والخارجية بشكل دوري لتحفيز المؤسسات على تحسين أدائها.</w:t>
      </w:r>
    </w:p>
    <w:p w:rsid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تخصيص مكافآت مالية أو دعم إضافي للجامعات الأكثر التزاما بمعايير الجودة.</w:t>
      </w:r>
    </w:p>
    <w:p w:rsidR="008F64C2" w:rsidRDefault="008F64C2" w:rsidP="008F64C2">
      <w:pPr>
        <w:pStyle w:val="Paragraphedeliste"/>
        <w:numPr>
          <w:ilvl w:val="0"/>
          <w:numId w:val="2"/>
        </w:numPr>
        <w:bidi/>
        <w:jc w:val="both"/>
        <w:rPr>
          <w:rFonts w:ascii="Traditional Arabic" w:eastAsia="Calibri" w:hAnsi="Traditional Arabic" w:cs="Traditional Arabic" w:hint="cs"/>
          <w:sz w:val="28"/>
          <w:szCs w:val="28"/>
        </w:rPr>
      </w:pPr>
      <w:r>
        <w:rPr>
          <w:rFonts w:ascii="Traditional Arabic" w:eastAsia="Calibri" w:hAnsi="Traditional Arabic" w:cs="Traditional Arabic" w:hint="cs"/>
          <w:sz w:val="28"/>
          <w:szCs w:val="28"/>
          <w:rtl/>
        </w:rPr>
        <w:t>إنشاء منصات رقمية مركزية تربط الوزارة بالجامعات لتوحيد البيانات</w:t>
      </w:r>
    </w:p>
    <w:p w:rsid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تطوير خدمات الكترونية للطلبة والأساتذة لتقليل الإجراءات الورقية.</w:t>
      </w:r>
    </w:p>
    <w:p w:rsid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البحث عن تمويلات خارجية عبر الشراكات الدولية والمشاريع البحثية المشتركة.</w:t>
      </w:r>
    </w:p>
    <w:p w:rsidR="00EE4EEF" w:rsidRPr="005A703B" w:rsidRDefault="008F64C2" w:rsidP="005A703B">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تشجيع الجامعات على تنمية مواردها الذاتية (استغلال البحث التطبيقي، الخدمات الجامعية المدفوعة)</w:t>
      </w:r>
    </w:p>
    <w:p w:rsidR="00E47D61" w:rsidRDefault="005B540C">
      <w:pPr>
        <w:pStyle w:val="Paragraphedeliste"/>
        <w:numPr>
          <w:ilvl w:val="1"/>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آليات المتابعة والتقييم</w:t>
      </w:r>
    </w:p>
    <w:p w:rsidR="008F64C2" w:rsidRDefault="008F64C2" w:rsidP="008F64C2">
      <w:pPr>
        <w:bidi/>
        <w:jc w:val="both"/>
        <w:rPr>
          <w:rFonts w:ascii="Traditional Arabic" w:eastAsia="Calibri" w:hAnsi="Traditional Arabic" w:cs="Traditional Arabic"/>
          <w:sz w:val="28"/>
          <w:szCs w:val="28"/>
          <w:rtl/>
        </w:rPr>
      </w:pPr>
      <w:r w:rsidRPr="008F64C2">
        <w:rPr>
          <w:rFonts w:ascii="Traditional Arabic" w:eastAsia="Calibri" w:hAnsi="Traditional Arabic" w:cs="Traditional Arabic" w:hint="cs"/>
          <w:sz w:val="28"/>
          <w:szCs w:val="28"/>
          <w:rtl/>
        </w:rPr>
        <w:t>تتمثل أهم آليات المتابعة والتقييم المقترحة في:</w:t>
      </w:r>
    </w:p>
    <w:p w:rsid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التقييم الداخلي السنوي: من خلال إعداد تقارير تفصيلية حول مدى التقدم في تحقيق معايير المرجع، بمشاركة جميع الأطراف.</w:t>
      </w:r>
    </w:p>
    <w:p w:rsid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التقييم الخارجي كل ثلاث سنوات: إشراك خبراء مستقلين للتحقق من مصداقية نتائج التقييم الداخلي.</w:t>
      </w:r>
    </w:p>
    <w:p w:rsidR="008F64C2" w:rsidRPr="008F64C2" w:rsidRDefault="008F64C2" w:rsidP="008F64C2">
      <w:pPr>
        <w:pStyle w:val="Paragraphedeliste"/>
        <w:numPr>
          <w:ilvl w:val="0"/>
          <w:numId w:val="2"/>
        </w:numPr>
        <w:bidi/>
        <w:jc w:val="both"/>
        <w:rPr>
          <w:rFonts w:ascii="Traditional Arabic" w:eastAsia="Calibri" w:hAnsi="Traditional Arabic" w:cs="Traditional Arabic"/>
          <w:sz w:val="28"/>
          <w:szCs w:val="28"/>
        </w:rPr>
      </w:pPr>
      <w:r>
        <w:rPr>
          <w:rFonts w:ascii="Traditional Arabic" w:eastAsia="Calibri" w:hAnsi="Traditional Arabic" w:cs="Traditional Arabic" w:hint="cs"/>
          <w:sz w:val="28"/>
          <w:szCs w:val="28"/>
          <w:rtl/>
        </w:rPr>
        <w:t>مؤشرات الأداء الرئيسية: (</w:t>
      </w:r>
      <w:proofErr w:type="spellStart"/>
      <w:r>
        <w:rPr>
          <w:rFonts w:ascii="Traditional Arabic" w:eastAsia="Calibri" w:hAnsi="Traditional Arabic" w:cs="Traditional Arabic"/>
          <w:sz w:val="28"/>
          <w:szCs w:val="28"/>
        </w:rPr>
        <w:t>KPIs</w:t>
      </w:r>
      <w:proofErr w:type="spellEnd"/>
      <w:r>
        <w:rPr>
          <w:rFonts w:ascii="Traditional Arabic" w:eastAsia="Calibri" w:hAnsi="Traditional Arabic" w:cs="Traditional Arabic" w:hint="cs"/>
          <w:sz w:val="28"/>
          <w:szCs w:val="28"/>
          <w:rtl/>
        </w:rPr>
        <w:t xml:space="preserve">) من خلال تحديد مؤشرات كمية مثل نسبة الطلبة الأجانب، عدد براءات الاختراع، نسبة </w:t>
      </w:r>
      <w:proofErr w:type="spellStart"/>
      <w:r>
        <w:rPr>
          <w:rFonts w:ascii="Traditional Arabic" w:eastAsia="Calibri" w:hAnsi="Traditional Arabic" w:cs="Traditional Arabic" w:hint="cs"/>
          <w:sz w:val="28"/>
          <w:szCs w:val="28"/>
          <w:rtl/>
        </w:rPr>
        <w:t>الرقمنة</w:t>
      </w:r>
      <w:proofErr w:type="spellEnd"/>
      <w:r>
        <w:rPr>
          <w:rFonts w:ascii="Traditional Arabic" w:eastAsia="Calibri" w:hAnsi="Traditional Arabic" w:cs="Traditional Arabic" w:hint="cs"/>
          <w:sz w:val="28"/>
          <w:szCs w:val="28"/>
          <w:rtl/>
        </w:rPr>
        <w:t>...، وذلك لتسهيل قياس النتائج.</w:t>
      </w:r>
    </w:p>
    <w:p w:rsidR="00E47D61" w:rsidRDefault="005B540C">
      <w:pPr>
        <w:pStyle w:val="Paragraphedeliste"/>
        <w:numPr>
          <w:ilvl w:val="0"/>
          <w:numId w:val="1"/>
        </w:numPr>
        <w:bidi/>
        <w:jc w:val="both"/>
        <w:rPr>
          <w:rFonts w:ascii="Traditional Arabic" w:eastAsia="Calibri" w:hAnsi="Traditional Arabic" w:cs="Traditional Arabic"/>
          <w:b/>
          <w:bCs/>
          <w:sz w:val="28"/>
          <w:szCs w:val="28"/>
        </w:rPr>
      </w:pPr>
      <w:r>
        <w:rPr>
          <w:rFonts w:ascii="Traditional Arabic" w:eastAsia="Calibri" w:hAnsi="Traditional Arabic" w:cs="Traditional Arabic" w:hint="cs"/>
          <w:b/>
          <w:bCs/>
          <w:sz w:val="28"/>
          <w:szCs w:val="28"/>
          <w:rtl/>
        </w:rPr>
        <w:t>الخاتمة</w:t>
      </w:r>
    </w:p>
    <w:p w:rsidR="00E47D61" w:rsidRDefault="008F64C2">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أظهرت الدراس</w:t>
      </w:r>
      <w:r w:rsidR="006824B9">
        <w:rPr>
          <w:rFonts w:ascii="Traditional Arabic" w:hAnsi="Traditional Arabic" w:cs="Traditional Arabic" w:hint="cs"/>
          <w:sz w:val="28"/>
          <w:szCs w:val="28"/>
          <w:rtl/>
        </w:rPr>
        <w:t xml:space="preserve">ة أن المرجع الوطني لضمان الجودة في التعليم العالي والبحث العلمي </w:t>
      </w:r>
      <w:r w:rsidR="0066137B">
        <w:rPr>
          <w:rFonts w:ascii="Traditional Arabic" w:eastAsia="Calibri" w:hAnsi="Traditional Arabic" w:cs="Traditional Arabic"/>
          <w:sz w:val="28"/>
          <w:szCs w:val="28"/>
        </w:rPr>
        <w:t>RNAQ-ESRS 2023</w:t>
      </w:r>
      <w:r w:rsidR="0066137B">
        <w:rPr>
          <w:rFonts w:ascii="Traditional Arabic" w:eastAsia="Calibri" w:hAnsi="Traditional Arabic" w:cs="Traditional Arabic" w:hint="cs"/>
          <w:sz w:val="28"/>
          <w:szCs w:val="28"/>
          <w:rtl/>
        </w:rPr>
        <w:t xml:space="preserve"> </w:t>
      </w:r>
      <w:r w:rsidR="006824B9">
        <w:rPr>
          <w:rFonts w:ascii="Traditional Arabic" w:hAnsi="Traditional Arabic" w:cs="Traditional Arabic" w:hint="cs"/>
          <w:sz w:val="28"/>
          <w:szCs w:val="28"/>
          <w:rtl/>
        </w:rPr>
        <w:t>يمثل أداة استراتيجية محورية لتقويم وتحسين أداء الجامعات الجزائرية. فقد تميز المرجع بشموليته من خلال تغطية ثمانية مجالات رئيسية تضم مختلف الأنشطة الأكاديمية والبحثية والإدارية والخدماتية. كما أثبت</w:t>
      </w:r>
      <w:r w:rsidR="001E60F8">
        <w:rPr>
          <w:rFonts w:ascii="Traditional Arabic" w:hAnsi="Traditional Arabic" w:cs="Traditional Arabic" w:hint="cs"/>
          <w:sz w:val="28"/>
          <w:szCs w:val="28"/>
          <w:rtl/>
        </w:rPr>
        <w:t xml:space="preserve"> التحليل أن المرجع يتقاطع بشكل كبير مع التوجهات الاستراتيجية الجديدة لقطاع التعليم العالي، خ</w:t>
      </w:r>
      <w:r w:rsidR="005A703B">
        <w:rPr>
          <w:rFonts w:ascii="Traditional Arabic" w:hAnsi="Traditional Arabic" w:cs="Traditional Arabic" w:hint="cs"/>
          <w:sz w:val="28"/>
          <w:szCs w:val="28"/>
          <w:rtl/>
        </w:rPr>
        <w:t>اصة فيما يت</w:t>
      </w:r>
      <w:r w:rsidR="001E60F8">
        <w:rPr>
          <w:rFonts w:ascii="Traditional Arabic" w:hAnsi="Traditional Arabic" w:cs="Traditional Arabic" w:hint="cs"/>
          <w:sz w:val="28"/>
          <w:szCs w:val="28"/>
          <w:rtl/>
        </w:rPr>
        <w:t xml:space="preserve">علق بالتدويل، الابتكار، </w:t>
      </w:r>
      <w:proofErr w:type="spellStart"/>
      <w:r w:rsidR="001E60F8">
        <w:rPr>
          <w:rFonts w:ascii="Traditional Arabic" w:hAnsi="Traditional Arabic" w:cs="Traditional Arabic" w:hint="cs"/>
          <w:sz w:val="28"/>
          <w:szCs w:val="28"/>
          <w:rtl/>
        </w:rPr>
        <w:t>الحوكمة</w:t>
      </w:r>
      <w:proofErr w:type="spellEnd"/>
      <w:r w:rsidR="001E60F8">
        <w:rPr>
          <w:rFonts w:ascii="Traditional Arabic" w:hAnsi="Traditional Arabic" w:cs="Traditional Arabic" w:hint="cs"/>
          <w:sz w:val="28"/>
          <w:szCs w:val="28"/>
          <w:rtl/>
        </w:rPr>
        <w:t xml:space="preserve"> الرشيدة، </w:t>
      </w:r>
      <w:proofErr w:type="spellStart"/>
      <w:r w:rsidR="001E60F8">
        <w:rPr>
          <w:rFonts w:ascii="Traditional Arabic" w:hAnsi="Traditional Arabic" w:cs="Traditional Arabic" w:hint="cs"/>
          <w:sz w:val="28"/>
          <w:szCs w:val="28"/>
          <w:rtl/>
        </w:rPr>
        <w:t>الرقمنة</w:t>
      </w:r>
      <w:proofErr w:type="spellEnd"/>
      <w:r w:rsidR="001E60F8">
        <w:rPr>
          <w:rFonts w:ascii="Traditional Arabic" w:hAnsi="Traditional Arabic" w:cs="Traditional Arabic" w:hint="cs"/>
          <w:sz w:val="28"/>
          <w:szCs w:val="28"/>
          <w:rtl/>
        </w:rPr>
        <w:t>، وتحسين جودة الحياة الجامعية.</w:t>
      </w:r>
    </w:p>
    <w:p w:rsidR="001E60F8" w:rsidRDefault="001E60F8" w:rsidP="001E60F8">
      <w:pPr>
        <w:bidi/>
        <w:jc w:val="both"/>
        <w:rPr>
          <w:rFonts w:ascii="Traditional Arabic" w:hAnsi="Traditional Arabic" w:cs="Traditional Arabic"/>
          <w:sz w:val="28"/>
          <w:szCs w:val="28"/>
          <w:rtl/>
        </w:rPr>
      </w:pPr>
      <w:r>
        <w:rPr>
          <w:rFonts w:ascii="Traditional Arabic" w:hAnsi="Traditional Arabic" w:cs="Traditional Arabic" w:hint="cs"/>
          <w:sz w:val="28"/>
          <w:szCs w:val="28"/>
          <w:rtl/>
        </w:rPr>
        <w:t>رغم ذلك توجد بعض الفجوات العملية في تنفيذ المرجع، أبرزها ضعف الموارد البشرية والمالية، تفاوت</w:t>
      </w:r>
      <w:r w:rsidR="005A703B">
        <w:rPr>
          <w:rFonts w:ascii="Traditional Arabic" w:hAnsi="Traditional Arabic" w:cs="Traditional Arabic" w:hint="cs"/>
          <w:sz w:val="28"/>
          <w:szCs w:val="28"/>
          <w:rtl/>
        </w:rPr>
        <w:t xml:space="preserve"> مستويات </w:t>
      </w:r>
      <w:proofErr w:type="spellStart"/>
      <w:r w:rsidR="005A703B">
        <w:rPr>
          <w:rFonts w:ascii="Traditional Arabic" w:hAnsi="Traditional Arabic" w:cs="Traditional Arabic" w:hint="cs"/>
          <w:sz w:val="28"/>
          <w:szCs w:val="28"/>
          <w:rtl/>
        </w:rPr>
        <w:t>الرقمنة</w:t>
      </w:r>
      <w:proofErr w:type="spellEnd"/>
      <w:r w:rsidR="005A703B">
        <w:rPr>
          <w:rFonts w:ascii="Traditional Arabic" w:hAnsi="Traditional Arabic" w:cs="Traditional Arabic" w:hint="cs"/>
          <w:sz w:val="28"/>
          <w:szCs w:val="28"/>
          <w:rtl/>
        </w:rPr>
        <w:t xml:space="preserve"> بين الجامعات، صعوب</w:t>
      </w:r>
      <w:r>
        <w:rPr>
          <w:rFonts w:ascii="Traditional Arabic" w:hAnsi="Traditional Arabic" w:cs="Traditional Arabic" w:hint="cs"/>
          <w:sz w:val="28"/>
          <w:szCs w:val="28"/>
          <w:rtl/>
        </w:rPr>
        <w:t xml:space="preserve">ة استقطاب الطلبة الأجانب. هذه التحديات تؤثر على قدرة المؤسسات على بلوغ الأهداف المرجوة بالسرعة والكفاءة المطلوبتين. لذلك يعد التقييم الداخلي والخارجي المستمر ضروري لضمان </w:t>
      </w:r>
      <w:r w:rsidR="00E85733">
        <w:rPr>
          <w:rFonts w:ascii="Traditional Arabic" w:hAnsi="Traditional Arabic" w:cs="Traditional Arabic" w:hint="cs"/>
          <w:sz w:val="28"/>
          <w:szCs w:val="28"/>
          <w:rtl/>
        </w:rPr>
        <w:t>تحسين مؤشرات الأداء وربطها مباشرة بالتوجهات الاستراتيجية.</w:t>
      </w:r>
    </w:p>
    <w:p w:rsidR="00E85733" w:rsidRDefault="00E85733" w:rsidP="00E85733">
      <w:pPr>
        <w:pStyle w:val="Paragraphedeliste"/>
        <w:numPr>
          <w:ilvl w:val="0"/>
          <w:numId w:val="1"/>
        </w:numPr>
        <w:bidi/>
        <w:jc w:val="both"/>
        <w:rPr>
          <w:rFonts w:ascii="Traditional Arabic" w:hAnsi="Traditional Arabic" w:cs="Traditional Arabic"/>
          <w:b/>
          <w:bCs/>
          <w:sz w:val="28"/>
          <w:szCs w:val="28"/>
        </w:rPr>
      </w:pPr>
      <w:r w:rsidRPr="00E85733">
        <w:rPr>
          <w:rFonts w:ascii="Traditional Arabic" w:hAnsi="Traditional Arabic" w:cs="Traditional Arabic" w:hint="cs"/>
          <w:b/>
          <w:bCs/>
          <w:sz w:val="28"/>
          <w:szCs w:val="28"/>
          <w:rtl/>
        </w:rPr>
        <w:lastRenderedPageBreak/>
        <w:t>المراجع</w:t>
      </w:r>
    </w:p>
    <w:p w:rsidR="00DA768A" w:rsidRPr="00CB13E9" w:rsidRDefault="00343CE3" w:rsidP="00343CE3">
      <w:pPr>
        <w:pStyle w:val="Paragraphedeliste"/>
        <w:numPr>
          <w:ilvl w:val="0"/>
          <w:numId w:val="2"/>
        </w:numPr>
        <w:bidi/>
        <w:jc w:val="both"/>
        <w:rPr>
          <w:rFonts w:ascii="Traditional Arabic" w:hAnsi="Traditional Arabic" w:cs="Traditional Arabic"/>
          <w:sz w:val="28"/>
          <w:szCs w:val="28"/>
        </w:rPr>
      </w:pPr>
      <w:r w:rsidRPr="00CB13E9">
        <w:rPr>
          <w:rFonts w:ascii="Traditional Arabic" w:hAnsi="Traditional Arabic" w:cs="Traditional Arabic"/>
          <w:sz w:val="28"/>
          <w:szCs w:val="28"/>
          <w:rtl/>
        </w:rPr>
        <w:t xml:space="preserve">وزارة التعليم العالي والبحث العلمي، الاحصائيات الوطنية حول التعليم العالي. عبر الموقع </w:t>
      </w:r>
      <w:hyperlink r:id="rId12" w:history="1">
        <w:r w:rsidRPr="00CB13E9">
          <w:rPr>
            <w:rStyle w:val="Lienhypertexte"/>
            <w:rFonts w:ascii="Traditional Arabic" w:hAnsi="Traditional Arabic" w:cs="Traditional Arabic"/>
            <w:sz w:val="28"/>
            <w:szCs w:val="28"/>
          </w:rPr>
          <w:t>https://www.mesrs.dz/index.php/agregats-ar-2024-2025-2/</w:t>
        </w:r>
      </w:hyperlink>
      <w:r w:rsidRPr="00CB13E9">
        <w:rPr>
          <w:rFonts w:ascii="Traditional Arabic" w:hAnsi="Traditional Arabic" w:cs="Traditional Arabic"/>
          <w:sz w:val="28"/>
          <w:szCs w:val="28"/>
          <w:rtl/>
        </w:rPr>
        <w:t xml:space="preserve"> </w:t>
      </w:r>
    </w:p>
    <w:p w:rsidR="00343CE3" w:rsidRPr="00CB13E9" w:rsidRDefault="00343CE3" w:rsidP="00343CE3">
      <w:pPr>
        <w:pStyle w:val="Paragraphedeliste"/>
        <w:numPr>
          <w:ilvl w:val="0"/>
          <w:numId w:val="2"/>
        </w:numPr>
        <w:bidi/>
        <w:jc w:val="both"/>
        <w:rPr>
          <w:rFonts w:ascii="Traditional Arabic" w:hAnsi="Traditional Arabic" w:cs="Traditional Arabic"/>
          <w:sz w:val="28"/>
          <w:szCs w:val="28"/>
        </w:rPr>
      </w:pPr>
      <w:r w:rsidRPr="00CB13E9">
        <w:rPr>
          <w:rFonts w:ascii="Traditional Arabic" w:hAnsi="Traditional Arabic" w:cs="Traditional Arabic"/>
          <w:sz w:val="28"/>
          <w:szCs w:val="28"/>
          <w:rtl/>
        </w:rPr>
        <w:t xml:space="preserve">المديرية العامة للبحث العلمي والتطوير التكنولوجي، التقرير السنوي للبحث العلمي. عبر الموقع </w:t>
      </w:r>
      <w:hyperlink r:id="rId13" w:history="1">
        <w:r w:rsidRPr="00CB13E9">
          <w:rPr>
            <w:rStyle w:val="Lienhypertexte"/>
            <w:rFonts w:ascii="Traditional Arabic" w:hAnsi="Traditional Arabic" w:cs="Traditional Arabic"/>
            <w:sz w:val="28"/>
            <w:szCs w:val="28"/>
          </w:rPr>
          <w:t>https://dgrsdt.dz/</w:t>
        </w:r>
      </w:hyperlink>
      <w:r w:rsidRPr="00CB13E9">
        <w:rPr>
          <w:rFonts w:ascii="Traditional Arabic" w:hAnsi="Traditional Arabic" w:cs="Traditional Arabic"/>
          <w:sz w:val="28"/>
          <w:szCs w:val="28"/>
          <w:rtl/>
        </w:rPr>
        <w:t xml:space="preserve"> </w:t>
      </w:r>
    </w:p>
    <w:p w:rsidR="00343CE3" w:rsidRPr="00CB13E9" w:rsidRDefault="00343CE3" w:rsidP="00343CE3">
      <w:pPr>
        <w:pStyle w:val="Paragraphedeliste"/>
        <w:numPr>
          <w:ilvl w:val="0"/>
          <w:numId w:val="2"/>
        </w:numPr>
        <w:bidi/>
        <w:jc w:val="both"/>
        <w:rPr>
          <w:rFonts w:ascii="Traditional Arabic" w:hAnsi="Traditional Arabic" w:cs="Traditional Arabic"/>
          <w:sz w:val="28"/>
          <w:szCs w:val="28"/>
        </w:rPr>
      </w:pPr>
      <w:r w:rsidRPr="00CB13E9">
        <w:rPr>
          <w:rFonts w:ascii="Traditional Arabic" w:eastAsia="Calibri" w:hAnsi="Traditional Arabic" w:cs="Traditional Arabic"/>
          <w:sz w:val="28"/>
          <w:szCs w:val="28"/>
        </w:rPr>
        <w:t>RNAQ-ESRS 2023</w:t>
      </w:r>
      <w:r w:rsidRPr="00CB13E9">
        <w:rPr>
          <w:rFonts w:ascii="Traditional Arabic" w:eastAsia="Calibri" w:hAnsi="Traditional Arabic" w:cs="Traditional Arabic"/>
          <w:sz w:val="28"/>
          <w:szCs w:val="28"/>
          <w:rtl/>
        </w:rPr>
        <w:t>، وزارة التعليم العالي والبحث العلمي، الجزائر.</w:t>
      </w:r>
    </w:p>
    <w:p w:rsidR="00CB13E9" w:rsidRPr="00CB13E9" w:rsidRDefault="00CB13E9" w:rsidP="00CB13E9">
      <w:pPr>
        <w:pStyle w:val="Notedebasdepage"/>
        <w:numPr>
          <w:ilvl w:val="0"/>
          <w:numId w:val="2"/>
        </w:numPr>
        <w:rPr>
          <w:rFonts w:ascii="Traditional Arabic" w:hAnsi="Traditional Arabic" w:cs="Traditional Arabic"/>
          <w:sz w:val="28"/>
          <w:szCs w:val="28"/>
        </w:rPr>
      </w:pPr>
      <w:proofErr w:type="spellStart"/>
      <w:r w:rsidRPr="00CB13E9">
        <w:rPr>
          <w:rFonts w:ascii="Traditional Arabic" w:hAnsi="Traditional Arabic" w:cs="Traditional Arabic"/>
          <w:sz w:val="28"/>
          <w:szCs w:val="28"/>
        </w:rPr>
        <w:t>European</w:t>
      </w:r>
      <w:proofErr w:type="spellEnd"/>
      <w:r w:rsidRPr="00CB13E9">
        <w:rPr>
          <w:rFonts w:ascii="Traditional Arabic" w:hAnsi="Traditional Arabic" w:cs="Traditional Arabic"/>
          <w:sz w:val="28"/>
          <w:szCs w:val="28"/>
        </w:rPr>
        <w:t xml:space="preserve"> </w:t>
      </w:r>
      <w:proofErr w:type="spellStart"/>
      <w:r w:rsidRPr="00CB13E9">
        <w:rPr>
          <w:rFonts w:ascii="Traditional Arabic" w:hAnsi="Traditional Arabic" w:cs="Traditional Arabic"/>
          <w:sz w:val="28"/>
          <w:szCs w:val="28"/>
        </w:rPr>
        <w:t>Comission</w:t>
      </w:r>
      <w:proofErr w:type="spellEnd"/>
      <w:r w:rsidRPr="00CB13E9">
        <w:rPr>
          <w:rFonts w:ascii="Traditional Arabic" w:hAnsi="Traditional Arabic" w:cs="Traditional Arabic"/>
          <w:sz w:val="28"/>
          <w:szCs w:val="28"/>
        </w:rPr>
        <w:t xml:space="preserve">, </w:t>
      </w:r>
      <w:proofErr w:type="spellStart"/>
      <w:r w:rsidRPr="00CB13E9">
        <w:rPr>
          <w:rFonts w:ascii="Traditional Arabic" w:hAnsi="Traditional Arabic" w:cs="Traditional Arabic"/>
          <w:sz w:val="28"/>
          <w:szCs w:val="28"/>
        </w:rPr>
        <w:t>Quality</w:t>
      </w:r>
      <w:proofErr w:type="spellEnd"/>
      <w:r w:rsidRPr="00CB13E9">
        <w:rPr>
          <w:rFonts w:ascii="Traditional Arabic" w:hAnsi="Traditional Arabic" w:cs="Traditional Arabic"/>
          <w:sz w:val="28"/>
          <w:szCs w:val="28"/>
        </w:rPr>
        <w:t xml:space="preserve"> Assurance in </w:t>
      </w:r>
      <w:proofErr w:type="spellStart"/>
      <w:r w:rsidRPr="00CB13E9">
        <w:rPr>
          <w:rFonts w:ascii="Traditional Arabic" w:hAnsi="Traditional Arabic" w:cs="Traditional Arabic"/>
          <w:sz w:val="28"/>
          <w:szCs w:val="28"/>
        </w:rPr>
        <w:t>Higher</w:t>
      </w:r>
      <w:proofErr w:type="spellEnd"/>
      <w:r w:rsidRPr="00CB13E9">
        <w:rPr>
          <w:rFonts w:ascii="Traditional Arabic" w:hAnsi="Traditional Arabic" w:cs="Traditional Arabic"/>
          <w:sz w:val="28"/>
          <w:szCs w:val="28"/>
        </w:rPr>
        <w:t xml:space="preserve"> Education </w:t>
      </w:r>
      <w:proofErr w:type="spellStart"/>
      <w:r w:rsidRPr="00CB13E9">
        <w:rPr>
          <w:rFonts w:ascii="Traditional Arabic" w:hAnsi="Traditional Arabic" w:cs="Traditional Arabic"/>
          <w:sz w:val="28"/>
          <w:szCs w:val="28"/>
        </w:rPr>
        <w:t>Manual</w:t>
      </w:r>
      <w:proofErr w:type="spellEnd"/>
      <w:r w:rsidRPr="00CB13E9">
        <w:rPr>
          <w:rFonts w:ascii="Traditional Arabic" w:hAnsi="Traditional Arabic" w:cs="Traditional Arabic"/>
          <w:sz w:val="28"/>
          <w:szCs w:val="28"/>
        </w:rPr>
        <w:t xml:space="preserve">, Erasmus+ </w:t>
      </w:r>
      <w:proofErr w:type="spellStart"/>
      <w:r w:rsidRPr="00CB13E9">
        <w:rPr>
          <w:rFonts w:ascii="Traditional Arabic" w:hAnsi="Traditional Arabic" w:cs="Traditional Arabic"/>
          <w:sz w:val="28"/>
          <w:szCs w:val="28"/>
        </w:rPr>
        <w:t>Capacity</w:t>
      </w:r>
      <w:proofErr w:type="spellEnd"/>
      <w:r w:rsidRPr="00CB13E9">
        <w:rPr>
          <w:rFonts w:ascii="Traditional Arabic" w:hAnsi="Traditional Arabic" w:cs="Traditional Arabic"/>
          <w:sz w:val="28"/>
          <w:szCs w:val="28"/>
        </w:rPr>
        <w:t xml:space="preserve"> Building in </w:t>
      </w:r>
      <w:proofErr w:type="spellStart"/>
      <w:r w:rsidRPr="00CB13E9">
        <w:rPr>
          <w:rFonts w:ascii="Traditional Arabic" w:hAnsi="Traditional Arabic" w:cs="Traditional Arabic"/>
          <w:sz w:val="28"/>
          <w:szCs w:val="28"/>
        </w:rPr>
        <w:t>Higher</w:t>
      </w:r>
      <w:proofErr w:type="spellEnd"/>
      <w:r w:rsidRPr="00CB13E9">
        <w:rPr>
          <w:rFonts w:ascii="Traditional Arabic" w:hAnsi="Traditional Arabic" w:cs="Traditional Arabic"/>
          <w:sz w:val="28"/>
          <w:szCs w:val="28"/>
        </w:rPr>
        <w:t xml:space="preserve"> Education (CBHE) </w:t>
      </w:r>
      <w:proofErr w:type="spellStart"/>
      <w:r w:rsidRPr="00CB13E9">
        <w:rPr>
          <w:rFonts w:ascii="Traditional Arabic" w:hAnsi="Traditional Arabic" w:cs="Traditional Arabic"/>
          <w:sz w:val="28"/>
          <w:szCs w:val="28"/>
        </w:rPr>
        <w:t>project</w:t>
      </w:r>
      <w:proofErr w:type="spellEnd"/>
      <w:r w:rsidRPr="00CB13E9">
        <w:rPr>
          <w:rFonts w:ascii="Traditional Arabic" w:hAnsi="Traditional Arabic" w:cs="Traditional Arabic"/>
          <w:sz w:val="28"/>
          <w:szCs w:val="28"/>
        </w:rPr>
        <w:t xml:space="preserve">, April 29, 2018. </w:t>
      </w:r>
      <w:proofErr w:type="spellStart"/>
      <w:r w:rsidRPr="00CB13E9">
        <w:rPr>
          <w:rFonts w:ascii="Traditional Arabic" w:hAnsi="Traditional Arabic" w:cs="Traditional Arabic"/>
          <w:sz w:val="28"/>
          <w:szCs w:val="28"/>
        </w:rPr>
        <w:t>Accessed</w:t>
      </w:r>
      <w:proofErr w:type="spellEnd"/>
      <w:r w:rsidRPr="00CB13E9">
        <w:rPr>
          <w:rFonts w:ascii="Traditional Arabic" w:hAnsi="Traditional Arabic" w:cs="Traditional Arabic"/>
          <w:sz w:val="28"/>
          <w:szCs w:val="28"/>
        </w:rPr>
        <w:t xml:space="preserve"> 04/08/2025 </w:t>
      </w:r>
      <w:hyperlink r:id="rId14" w:history="1">
        <w:r w:rsidRPr="00CB13E9">
          <w:rPr>
            <w:rStyle w:val="Lienhypertexte"/>
            <w:rFonts w:ascii="Traditional Arabic" w:hAnsi="Traditional Arabic" w:cs="Traditional Arabic"/>
            <w:sz w:val="28"/>
            <w:szCs w:val="28"/>
          </w:rPr>
          <w:t>https://ec.europa.eu/programmes/erasmus-plus/project-result-content/ed7c0c0b-3b39-4388-b686-f0b4ae96e147/Quality_Assurance_Manual_final_version_29.04.2018.pdf</w:t>
        </w:r>
      </w:hyperlink>
      <w:r w:rsidRPr="00CB13E9">
        <w:rPr>
          <w:rFonts w:ascii="Traditional Arabic" w:hAnsi="Traditional Arabic" w:cs="Traditional Arabic"/>
          <w:sz w:val="28"/>
          <w:szCs w:val="28"/>
        </w:rPr>
        <w:t xml:space="preserve"> </w:t>
      </w:r>
    </w:p>
    <w:p w:rsidR="00CB13E9" w:rsidRPr="00CB13E9" w:rsidRDefault="00CB13E9" w:rsidP="00CB13E9">
      <w:pPr>
        <w:pStyle w:val="Notedebasdepage"/>
        <w:numPr>
          <w:ilvl w:val="0"/>
          <w:numId w:val="2"/>
        </w:numPr>
        <w:rPr>
          <w:rFonts w:ascii="Traditional Arabic" w:hAnsi="Traditional Arabic" w:cs="Traditional Arabic"/>
          <w:sz w:val="28"/>
          <w:szCs w:val="28"/>
        </w:rPr>
      </w:pPr>
      <w:r w:rsidRPr="00CB13E9">
        <w:rPr>
          <w:rFonts w:ascii="Traditional Arabic" w:hAnsi="Traditional Arabic" w:cs="Traditional Arabic"/>
          <w:sz w:val="28"/>
          <w:szCs w:val="28"/>
        </w:rPr>
        <w:t>Référentiel National d’Assurance qualité des établissements d’Enseignement Supérieur et de Recherche Scientifique, MESERS, Algérie, 2023, P09.</w:t>
      </w:r>
    </w:p>
    <w:p w:rsidR="00CB13E9" w:rsidRPr="00CB13E9" w:rsidRDefault="00CB13E9" w:rsidP="00CB13E9">
      <w:pPr>
        <w:pStyle w:val="Notedebasdepage"/>
        <w:numPr>
          <w:ilvl w:val="0"/>
          <w:numId w:val="2"/>
        </w:numPr>
        <w:rPr>
          <w:rFonts w:ascii="Traditional Arabic" w:hAnsi="Traditional Arabic" w:cs="Traditional Arabic"/>
          <w:sz w:val="28"/>
          <w:szCs w:val="28"/>
          <w:lang w:bidi="ar-DZ"/>
        </w:rPr>
      </w:pPr>
      <w:proofErr w:type="spellStart"/>
      <w:r w:rsidRPr="00CB13E9">
        <w:rPr>
          <w:rFonts w:ascii="Traditional Arabic" w:hAnsi="Traditional Arabic" w:cs="Traditional Arabic"/>
          <w:sz w:val="28"/>
          <w:szCs w:val="28"/>
          <w:lang w:bidi="ar-DZ"/>
        </w:rPr>
        <w:t>Sharafi</w:t>
      </w:r>
      <w:proofErr w:type="spellEnd"/>
      <w:r w:rsidRPr="00CB13E9">
        <w:rPr>
          <w:rFonts w:ascii="Traditional Arabic" w:hAnsi="Traditional Arabic" w:cs="Traditional Arabic"/>
          <w:sz w:val="28"/>
          <w:szCs w:val="28"/>
          <w:lang w:bidi="ar-DZ"/>
        </w:rPr>
        <w:t xml:space="preserve">, Mohammad &amp; </w:t>
      </w:r>
      <w:proofErr w:type="spellStart"/>
      <w:r w:rsidRPr="00CB13E9">
        <w:rPr>
          <w:rFonts w:ascii="Traditional Arabic" w:hAnsi="Traditional Arabic" w:cs="Traditional Arabic"/>
          <w:sz w:val="28"/>
          <w:szCs w:val="28"/>
          <w:lang w:bidi="ar-DZ"/>
        </w:rPr>
        <w:t>Mirzaei</w:t>
      </w:r>
      <w:proofErr w:type="spellEnd"/>
      <w:r w:rsidRPr="00CB13E9">
        <w:rPr>
          <w:rFonts w:ascii="Traditional Arabic" w:hAnsi="Traditional Arabic" w:cs="Traditional Arabic"/>
          <w:sz w:val="28"/>
          <w:szCs w:val="28"/>
          <w:lang w:bidi="ar-DZ"/>
        </w:rPr>
        <w:t xml:space="preserve">, </w:t>
      </w:r>
      <w:proofErr w:type="spellStart"/>
      <w:r w:rsidRPr="00CB13E9">
        <w:rPr>
          <w:rFonts w:ascii="Traditional Arabic" w:hAnsi="Traditional Arabic" w:cs="Traditional Arabic"/>
          <w:sz w:val="28"/>
          <w:szCs w:val="28"/>
          <w:lang w:bidi="ar-DZ"/>
        </w:rPr>
        <w:t>Alireza</w:t>
      </w:r>
      <w:proofErr w:type="spellEnd"/>
      <w:r w:rsidRPr="00CB13E9">
        <w:rPr>
          <w:rFonts w:ascii="Traditional Arabic" w:hAnsi="Traditional Arabic" w:cs="Traditional Arabic"/>
          <w:sz w:val="28"/>
          <w:szCs w:val="28"/>
          <w:lang w:bidi="ar-DZ"/>
        </w:rPr>
        <w:t xml:space="preserve"> &amp; </w:t>
      </w:r>
      <w:proofErr w:type="spellStart"/>
      <w:r w:rsidRPr="00CB13E9">
        <w:rPr>
          <w:rFonts w:ascii="Traditional Arabic" w:hAnsi="Traditional Arabic" w:cs="Traditional Arabic"/>
          <w:sz w:val="28"/>
          <w:szCs w:val="28"/>
          <w:lang w:bidi="ar-DZ"/>
        </w:rPr>
        <w:t>Mazbuhi</w:t>
      </w:r>
      <w:proofErr w:type="spellEnd"/>
      <w:r w:rsidRPr="00CB13E9">
        <w:rPr>
          <w:rFonts w:ascii="Traditional Arabic" w:hAnsi="Traditional Arabic" w:cs="Traditional Arabic"/>
          <w:sz w:val="28"/>
          <w:szCs w:val="28"/>
          <w:lang w:bidi="ar-DZ"/>
        </w:rPr>
        <w:t xml:space="preserve">, </w:t>
      </w:r>
      <w:proofErr w:type="spellStart"/>
      <w:r w:rsidRPr="00CB13E9">
        <w:rPr>
          <w:rFonts w:ascii="Traditional Arabic" w:hAnsi="Traditional Arabic" w:cs="Traditional Arabic"/>
          <w:sz w:val="28"/>
          <w:szCs w:val="28"/>
          <w:lang w:bidi="ar-DZ"/>
        </w:rPr>
        <w:t>Saeed</w:t>
      </w:r>
      <w:proofErr w:type="spellEnd"/>
      <w:r w:rsidRPr="00CB13E9">
        <w:rPr>
          <w:rFonts w:ascii="Traditional Arabic" w:hAnsi="Traditional Arabic" w:cs="Traditional Arabic"/>
          <w:sz w:val="28"/>
          <w:szCs w:val="28"/>
          <w:lang w:bidi="ar-DZ"/>
        </w:rPr>
        <w:t xml:space="preserve">. (2024). </w:t>
      </w:r>
      <w:proofErr w:type="spellStart"/>
      <w:r w:rsidRPr="00CB13E9">
        <w:rPr>
          <w:rFonts w:ascii="Traditional Arabic" w:hAnsi="Traditional Arabic" w:cs="Traditional Arabic"/>
          <w:sz w:val="28"/>
          <w:szCs w:val="28"/>
          <w:lang w:bidi="ar-DZ"/>
        </w:rPr>
        <w:t>Internal</w:t>
      </w:r>
      <w:proofErr w:type="spellEnd"/>
      <w:r w:rsidRPr="00CB13E9">
        <w:rPr>
          <w:rFonts w:ascii="Traditional Arabic" w:hAnsi="Traditional Arabic" w:cs="Traditional Arabic"/>
          <w:sz w:val="28"/>
          <w:szCs w:val="28"/>
          <w:lang w:bidi="ar-DZ"/>
        </w:rPr>
        <w:t xml:space="preserve"> Evaluation in the </w:t>
      </w:r>
      <w:proofErr w:type="spellStart"/>
      <w:r w:rsidRPr="00CB13E9">
        <w:rPr>
          <w:rFonts w:ascii="Traditional Arabic" w:hAnsi="Traditional Arabic" w:cs="Traditional Arabic"/>
          <w:sz w:val="28"/>
          <w:szCs w:val="28"/>
          <w:lang w:bidi="ar-DZ"/>
        </w:rPr>
        <w:t>Higher</w:t>
      </w:r>
      <w:proofErr w:type="spellEnd"/>
      <w:r w:rsidRPr="00CB13E9">
        <w:rPr>
          <w:rFonts w:ascii="Traditional Arabic" w:hAnsi="Traditional Arabic" w:cs="Traditional Arabic"/>
          <w:sz w:val="28"/>
          <w:szCs w:val="28"/>
          <w:lang w:bidi="ar-DZ"/>
        </w:rPr>
        <w:t xml:space="preserve"> Education </w:t>
      </w:r>
      <w:proofErr w:type="gramStart"/>
      <w:r w:rsidRPr="00CB13E9">
        <w:rPr>
          <w:rFonts w:ascii="Traditional Arabic" w:hAnsi="Traditional Arabic" w:cs="Traditional Arabic"/>
          <w:sz w:val="28"/>
          <w:szCs w:val="28"/>
          <w:lang w:bidi="ar-DZ"/>
        </w:rPr>
        <w:t>System:</w:t>
      </w:r>
      <w:proofErr w:type="gramEnd"/>
      <w:r w:rsidRPr="00CB13E9">
        <w:rPr>
          <w:rFonts w:ascii="Traditional Arabic" w:hAnsi="Traditional Arabic" w:cs="Traditional Arabic"/>
          <w:sz w:val="28"/>
          <w:szCs w:val="28"/>
          <w:lang w:bidi="ar-DZ"/>
        </w:rPr>
        <w:t xml:space="preserve"> A Case </w:t>
      </w:r>
      <w:proofErr w:type="spellStart"/>
      <w:r w:rsidRPr="00CB13E9">
        <w:rPr>
          <w:rFonts w:ascii="Traditional Arabic" w:hAnsi="Traditional Arabic" w:cs="Traditional Arabic"/>
          <w:sz w:val="28"/>
          <w:szCs w:val="28"/>
          <w:lang w:bidi="ar-DZ"/>
        </w:rPr>
        <w:t>Study</w:t>
      </w:r>
      <w:proofErr w:type="spellEnd"/>
      <w:r w:rsidRPr="00CB13E9">
        <w:rPr>
          <w:rFonts w:ascii="Traditional Arabic" w:hAnsi="Traditional Arabic" w:cs="Traditional Arabic"/>
          <w:sz w:val="28"/>
          <w:szCs w:val="28"/>
          <w:lang w:bidi="ar-DZ"/>
        </w:rPr>
        <w:t xml:space="preserve"> in Iran 1.</w:t>
      </w:r>
    </w:p>
    <w:p w:rsidR="00CB13E9" w:rsidRPr="00CB13E9" w:rsidRDefault="00CB13E9" w:rsidP="00CB13E9">
      <w:pPr>
        <w:pStyle w:val="Notedebasdepage"/>
        <w:numPr>
          <w:ilvl w:val="0"/>
          <w:numId w:val="2"/>
        </w:numPr>
        <w:rPr>
          <w:rFonts w:ascii="Traditional Arabic" w:hAnsi="Traditional Arabic" w:cs="Traditional Arabic"/>
          <w:sz w:val="28"/>
          <w:szCs w:val="28"/>
          <w:rtl/>
          <w:lang w:bidi="ar-DZ"/>
        </w:rPr>
      </w:pPr>
      <w:hyperlink r:id="rId15" w:history="1">
        <w:r w:rsidRPr="00CB13E9">
          <w:rPr>
            <w:rStyle w:val="Lienhypertexte"/>
            <w:rFonts w:ascii="Traditional Arabic" w:hAnsi="Traditional Arabic" w:cs="Traditional Arabic"/>
            <w:sz w:val="28"/>
            <w:szCs w:val="28"/>
          </w:rPr>
          <w:t>https://climate.sustainability-directory.com/term/higher-education-governance</w:t>
        </w:r>
      </w:hyperlink>
      <w:r w:rsidRPr="00CB13E9">
        <w:rPr>
          <w:rFonts w:ascii="Traditional Arabic" w:hAnsi="Traditional Arabic" w:cs="Traditional Arabic"/>
          <w:sz w:val="28"/>
          <w:szCs w:val="28"/>
          <w:rtl/>
        </w:rPr>
        <w:t xml:space="preserve">  </w:t>
      </w:r>
      <w:r w:rsidRPr="00CB13E9">
        <w:rPr>
          <w:rFonts w:ascii="Traditional Arabic" w:hAnsi="Traditional Arabic" w:cs="Traditional Arabic"/>
          <w:sz w:val="28"/>
          <w:szCs w:val="28"/>
        </w:rPr>
        <w:t xml:space="preserve"> </w:t>
      </w:r>
      <w:proofErr w:type="spellStart"/>
      <w:r w:rsidRPr="00CB13E9">
        <w:rPr>
          <w:rFonts w:ascii="Traditional Arabic" w:hAnsi="Traditional Arabic" w:cs="Traditional Arabic"/>
          <w:sz w:val="28"/>
          <w:szCs w:val="28"/>
        </w:rPr>
        <w:t>Accessed</w:t>
      </w:r>
      <w:proofErr w:type="spellEnd"/>
      <w:r w:rsidRPr="00CB13E9">
        <w:rPr>
          <w:rFonts w:ascii="Traditional Arabic" w:hAnsi="Traditional Arabic" w:cs="Traditional Arabic"/>
          <w:sz w:val="28"/>
          <w:szCs w:val="28"/>
        </w:rPr>
        <w:t xml:space="preserve"> 2/8/2025</w:t>
      </w:r>
    </w:p>
    <w:p w:rsidR="008B517B" w:rsidRPr="008B517B" w:rsidRDefault="008B517B" w:rsidP="008B517B">
      <w:pPr>
        <w:bidi/>
        <w:jc w:val="both"/>
        <w:rPr>
          <w:rFonts w:ascii="Traditional Arabic" w:hAnsi="Traditional Arabic" w:cs="Traditional Arabic"/>
          <w:sz w:val="28"/>
          <w:szCs w:val="28"/>
          <w:lang w:bidi="ar-DZ"/>
        </w:rPr>
      </w:pPr>
    </w:p>
    <w:sectPr w:rsidR="008B517B" w:rsidRPr="008B517B">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B4" w:rsidRDefault="008379B4">
      <w:pPr>
        <w:spacing w:line="240" w:lineRule="auto"/>
      </w:pPr>
      <w:r>
        <w:separator/>
      </w:r>
    </w:p>
  </w:endnote>
  <w:endnote w:type="continuationSeparator" w:id="0">
    <w:p w:rsidR="008379B4" w:rsidRDefault="00837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859966"/>
      <w:docPartObj>
        <w:docPartGallery w:val="Page Numbers (Bottom of Page)"/>
        <w:docPartUnique/>
      </w:docPartObj>
    </w:sdtPr>
    <w:sdtContent>
      <w:p w:rsidR="008D75DC" w:rsidRDefault="008D75DC">
        <w:pPr>
          <w:pStyle w:val="Pieddepage"/>
          <w:jc w:val="center"/>
        </w:pPr>
        <w:r>
          <w:fldChar w:fldCharType="begin"/>
        </w:r>
        <w:r>
          <w:instrText>PAGE   \* MERGEFORMAT</w:instrText>
        </w:r>
        <w:r>
          <w:fldChar w:fldCharType="separate"/>
        </w:r>
        <w:r w:rsidR="00B2256E">
          <w:rPr>
            <w:noProof/>
          </w:rPr>
          <w:t>17</w:t>
        </w:r>
        <w:r>
          <w:fldChar w:fldCharType="end"/>
        </w:r>
      </w:p>
    </w:sdtContent>
  </w:sdt>
  <w:p w:rsidR="008D75DC" w:rsidRDefault="008D75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B4" w:rsidRDefault="008379B4">
      <w:pPr>
        <w:spacing w:before="0" w:after="0"/>
      </w:pPr>
      <w:r>
        <w:separator/>
      </w:r>
    </w:p>
  </w:footnote>
  <w:footnote w:type="continuationSeparator" w:id="0">
    <w:p w:rsidR="008379B4" w:rsidRDefault="008379B4">
      <w:pPr>
        <w:spacing w:before="0" w:after="0"/>
      </w:pPr>
      <w:r>
        <w:continuationSeparator/>
      </w:r>
    </w:p>
  </w:footnote>
  <w:footnote w:id="1">
    <w:p w:rsidR="001D5C22" w:rsidRPr="00EB0288" w:rsidRDefault="001D5C22" w:rsidP="007C6246">
      <w:pPr>
        <w:pStyle w:val="Notedebasdepage"/>
        <w:rPr>
          <w:rFonts w:hint="cs"/>
          <w:rtl/>
        </w:rPr>
      </w:pPr>
      <w:r>
        <w:rPr>
          <w:rStyle w:val="Appelnotedebasdep"/>
        </w:rPr>
        <w:footnoteRef/>
      </w:r>
      <w:r>
        <w:t xml:space="preserve"> </w:t>
      </w:r>
      <w:proofErr w:type="spellStart"/>
      <w:r>
        <w:t>European</w:t>
      </w:r>
      <w:proofErr w:type="spellEnd"/>
      <w:r>
        <w:t xml:space="preserve"> </w:t>
      </w:r>
      <w:proofErr w:type="spellStart"/>
      <w:r>
        <w:t>Comission</w:t>
      </w:r>
      <w:proofErr w:type="spellEnd"/>
      <w:r>
        <w:t xml:space="preserve">, </w:t>
      </w:r>
      <w:proofErr w:type="spellStart"/>
      <w:r>
        <w:t>Quality</w:t>
      </w:r>
      <w:proofErr w:type="spellEnd"/>
      <w:r>
        <w:t xml:space="preserve"> Assurance in </w:t>
      </w:r>
      <w:proofErr w:type="spellStart"/>
      <w:r>
        <w:t>Higher</w:t>
      </w:r>
      <w:proofErr w:type="spellEnd"/>
      <w:r>
        <w:t xml:space="preserve"> Education </w:t>
      </w:r>
      <w:proofErr w:type="spellStart"/>
      <w:r>
        <w:t>Manual</w:t>
      </w:r>
      <w:proofErr w:type="spellEnd"/>
      <w:r>
        <w:t xml:space="preserve">, Erasmus+ </w:t>
      </w:r>
      <w:proofErr w:type="spellStart"/>
      <w:r>
        <w:t>Capacity</w:t>
      </w:r>
      <w:proofErr w:type="spellEnd"/>
      <w:r>
        <w:t xml:space="preserve"> Building in </w:t>
      </w:r>
      <w:proofErr w:type="spellStart"/>
      <w:r>
        <w:t>Higher</w:t>
      </w:r>
      <w:proofErr w:type="spellEnd"/>
      <w:r>
        <w:t xml:space="preserve"> Education (CBHE) </w:t>
      </w:r>
      <w:proofErr w:type="spellStart"/>
      <w:r>
        <w:t>project</w:t>
      </w:r>
      <w:proofErr w:type="spellEnd"/>
      <w:r>
        <w:t xml:space="preserve">, April 29, 2018. </w:t>
      </w:r>
      <w:proofErr w:type="spellStart"/>
      <w:r>
        <w:t>Accessed</w:t>
      </w:r>
      <w:proofErr w:type="spellEnd"/>
      <w:r>
        <w:t xml:space="preserve"> 04/08/2025 </w:t>
      </w:r>
      <w:hyperlink r:id="rId1" w:history="1">
        <w:r w:rsidRPr="00B1764F">
          <w:rPr>
            <w:rStyle w:val="Lienhypertexte"/>
          </w:rPr>
          <w:t>https://ec.europa.eu/programmes/erasmus-plus/project-result-content/ed7c0c0b-3b39-4388-b686-f0b4ae96e147/Quality_Assurance_Manual_final_version_29.04.2018.pdf</w:t>
        </w:r>
      </w:hyperlink>
      <w:r>
        <w:t xml:space="preserve"> </w:t>
      </w:r>
    </w:p>
  </w:footnote>
  <w:footnote w:id="2">
    <w:p w:rsidR="001D5C22" w:rsidRPr="001064B9" w:rsidRDefault="001D5C22" w:rsidP="001064B9">
      <w:pPr>
        <w:pStyle w:val="Notedebasdepage"/>
        <w:rPr>
          <w:lang w:bidi="ar-DZ"/>
        </w:rPr>
      </w:pPr>
      <w:r>
        <w:rPr>
          <w:rStyle w:val="Appelnotedebasdep"/>
        </w:rPr>
        <w:footnoteRef/>
      </w:r>
      <w:r>
        <w:t xml:space="preserve"> Référentiel National d’Assurance qualité des établissements d’Enseignement Supérieur et de Recherche Scientifique, MESERS, Algérie, 2023, P09.</w:t>
      </w:r>
    </w:p>
  </w:footnote>
  <w:footnote w:id="3">
    <w:p w:rsidR="00C51648" w:rsidRPr="00467A40" w:rsidRDefault="00C51648" w:rsidP="00C51648">
      <w:pPr>
        <w:pStyle w:val="Notedebasdepage"/>
        <w:rPr>
          <w:lang w:bidi="ar-DZ"/>
        </w:rPr>
      </w:pPr>
      <w:r>
        <w:rPr>
          <w:rStyle w:val="Appelnotedebasdep"/>
        </w:rPr>
        <w:footnoteRef/>
      </w:r>
      <w:r>
        <w:t xml:space="preserve"> </w:t>
      </w:r>
      <w:proofErr w:type="spellStart"/>
      <w:r w:rsidRPr="00467A40">
        <w:rPr>
          <w:lang w:bidi="ar-DZ"/>
        </w:rPr>
        <w:t>Sharafi</w:t>
      </w:r>
      <w:proofErr w:type="spellEnd"/>
      <w:r w:rsidRPr="00467A40">
        <w:rPr>
          <w:lang w:bidi="ar-DZ"/>
        </w:rPr>
        <w:t xml:space="preserve">, Mohammad &amp; </w:t>
      </w:r>
      <w:proofErr w:type="spellStart"/>
      <w:r w:rsidRPr="00467A40">
        <w:rPr>
          <w:lang w:bidi="ar-DZ"/>
        </w:rPr>
        <w:t>Mirzaei</w:t>
      </w:r>
      <w:proofErr w:type="spellEnd"/>
      <w:r w:rsidRPr="00467A40">
        <w:rPr>
          <w:lang w:bidi="ar-DZ"/>
        </w:rPr>
        <w:t xml:space="preserve">, </w:t>
      </w:r>
      <w:proofErr w:type="spellStart"/>
      <w:r w:rsidRPr="00467A40">
        <w:rPr>
          <w:lang w:bidi="ar-DZ"/>
        </w:rPr>
        <w:t>Alireza</w:t>
      </w:r>
      <w:proofErr w:type="spellEnd"/>
      <w:r w:rsidRPr="00467A40">
        <w:rPr>
          <w:lang w:bidi="ar-DZ"/>
        </w:rPr>
        <w:t xml:space="preserve"> &amp; </w:t>
      </w:r>
      <w:proofErr w:type="spellStart"/>
      <w:r w:rsidRPr="00467A40">
        <w:rPr>
          <w:lang w:bidi="ar-DZ"/>
        </w:rPr>
        <w:t>Mazbuhi</w:t>
      </w:r>
      <w:proofErr w:type="spellEnd"/>
      <w:r w:rsidRPr="00467A40">
        <w:rPr>
          <w:lang w:bidi="ar-DZ"/>
        </w:rPr>
        <w:t xml:space="preserve">, </w:t>
      </w:r>
      <w:proofErr w:type="spellStart"/>
      <w:r w:rsidRPr="00467A40">
        <w:rPr>
          <w:lang w:bidi="ar-DZ"/>
        </w:rPr>
        <w:t>Saeed</w:t>
      </w:r>
      <w:proofErr w:type="spellEnd"/>
      <w:r w:rsidRPr="00467A40">
        <w:rPr>
          <w:lang w:bidi="ar-DZ"/>
        </w:rPr>
        <w:t xml:space="preserve">. (2024). </w:t>
      </w:r>
      <w:proofErr w:type="spellStart"/>
      <w:r w:rsidRPr="00467A40">
        <w:rPr>
          <w:lang w:bidi="ar-DZ"/>
        </w:rPr>
        <w:t>Internal</w:t>
      </w:r>
      <w:proofErr w:type="spellEnd"/>
      <w:r w:rsidRPr="00467A40">
        <w:rPr>
          <w:lang w:bidi="ar-DZ"/>
        </w:rPr>
        <w:t xml:space="preserve"> Evaluation in the </w:t>
      </w:r>
      <w:proofErr w:type="spellStart"/>
      <w:r w:rsidRPr="00467A40">
        <w:rPr>
          <w:lang w:bidi="ar-DZ"/>
        </w:rPr>
        <w:t>Higher</w:t>
      </w:r>
      <w:proofErr w:type="spellEnd"/>
      <w:r w:rsidRPr="00467A40">
        <w:rPr>
          <w:lang w:bidi="ar-DZ"/>
        </w:rPr>
        <w:t xml:space="preserve"> Education </w:t>
      </w:r>
      <w:proofErr w:type="gramStart"/>
      <w:r w:rsidRPr="00467A40">
        <w:rPr>
          <w:lang w:bidi="ar-DZ"/>
        </w:rPr>
        <w:t>System:</w:t>
      </w:r>
      <w:proofErr w:type="gramEnd"/>
      <w:r w:rsidRPr="00467A40">
        <w:rPr>
          <w:lang w:bidi="ar-DZ"/>
        </w:rPr>
        <w:t xml:space="preserve"> A Case </w:t>
      </w:r>
      <w:proofErr w:type="spellStart"/>
      <w:r w:rsidRPr="00467A40">
        <w:rPr>
          <w:lang w:bidi="ar-DZ"/>
        </w:rPr>
        <w:t>Study</w:t>
      </w:r>
      <w:proofErr w:type="spellEnd"/>
      <w:r w:rsidRPr="00467A40">
        <w:rPr>
          <w:lang w:bidi="ar-DZ"/>
        </w:rPr>
        <w:t xml:space="preserve"> in Iran 1.</w:t>
      </w:r>
    </w:p>
  </w:footnote>
  <w:footnote w:id="4">
    <w:p w:rsidR="00C51648" w:rsidRPr="00117D6B" w:rsidRDefault="00C51648" w:rsidP="00C51648">
      <w:pPr>
        <w:pStyle w:val="Notedebasdepage"/>
        <w:rPr>
          <w:rFonts w:hint="cs"/>
          <w:rtl/>
          <w:lang w:bidi="ar-DZ"/>
        </w:rPr>
      </w:pPr>
    </w:p>
  </w:footnote>
  <w:footnote w:id="5">
    <w:p w:rsidR="00C51648" w:rsidRPr="00C51648" w:rsidRDefault="00C51648" w:rsidP="00C51648">
      <w:pPr>
        <w:pStyle w:val="Notedebasdepage"/>
        <w:rPr>
          <w:rFonts w:hint="cs"/>
          <w:rtl/>
          <w:lang w:bidi="ar-DZ"/>
        </w:rPr>
      </w:pPr>
      <w:r>
        <w:rPr>
          <w:rStyle w:val="Appelnotedebasdep"/>
        </w:rPr>
        <w:footnoteRef/>
      </w:r>
      <w:r>
        <w:t>Référentiel National d’Assurance qualité des établissements d’Enseignement Supérieur et de Recherche Scientifique, MESERS, Algérie, 2023, P</w:t>
      </w:r>
      <w:r>
        <w:t>10</w:t>
      </w:r>
      <w:r>
        <w:t>.</w:t>
      </w:r>
    </w:p>
  </w:footnote>
  <w:footnote w:id="6">
    <w:p w:rsidR="00117D6B" w:rsidRPr="00117D6B" w:rsidRDefault="00117D6B">
      <w:pPr>
        <w:pStyle w:val="Notedebasdepage"/>
        <w:rPr>
          <w:lang w:bidi="ar-DZ"/>
        </w:rPr>
      </w:pPr>
      <w:r>
        <w:rPr>
          <w:rStyle w:val="Appelnotedebasdep"/>
        </w:rPr>
        <w:footnoteRef/>
      </w:r>
      <w:r>
        <w:t xml:space="preserve"> </w:t>
      </w:r>
      <w:hyperlink r:id="rId2" w:history="1">
        <w:r w:rsidRPr="00B1764F">
          <w:rPr>
            <w:rStyle w:val="Lienhypertexte"/>
          </w:rPr>
          <w:t>https://climate.sustainability-directory.com/term/higher-education-governance</w:t>
        </w:r>
      </w:hyperlink>
      <w:r>
        <w:rPr>
          <w:rFonts w:hint="cs"/>
          <w:rtl/>
        </w:rPr>
        <w:t xml:space="preserve"> </w:t>
      </w:r>
      <w:r w:rsidR="00421644">
        <w:rPr>
          <w:rFonts w:hint="cs"/>
          <w:rtl/>
        </w:rPr>
        <w:t xml:space="preserve"> </w:t>
      </w:r>
      <w:r w:rsidR="000B2CD2">
        <w:t xml:space="preserve"> </w:t>
      </w:r>
      <w:proofErr w:type="spellStart"/>
      <w:r w:rsidR="000B2CD2">
        <w:t>Accessed</w:t>
      </w:r>
      <w:proofErr w:type="spellEnd"/>
      <w:r w:rsidR="000B2CD2">
        <w:t xml:space="preserve"> 2/8/2025</w:t>
      </w:r>
    </w:p>
  </w:footnote>
  <w:footnote w:id="7">
    <w:p w:rsidR="001D5C22" w:rsidRDefault="001D5C22" w:rsidP="001064B9">
      <w:pPr>
        <w:pStyle w:val="Notedebasdepage"/>
      </w:pPr>
      <w:r>
        <w:rPr>
          <w:rStyle w:val="Appelnotedebasdep"/>
        </w:rPr>
        <w:footnoteRef/>
      </w:r>
      <w:r>
        <w:t xml:space="preserve"> Référentiel National d’Assurance qualité des établissements d’Enseignement Supérieur et de Recherche Scientifique, MESERS, Algérie, 2023, P16.</w:t>
      </w:r>
    </w:p>
  </w:footnote>
  <w:footnote w:id="8">
    <w:p w:rsidR="001D5C22" w:rsidRDefault="001D5C22">
      <w:pPr>
        <w:pStyle w:val="Notedebasdepage"/>
        <w:rPr>
          <w:rFonts w:hint="cs"/>
          <w:rtl/>
          <w:lang w:bidi="ar-DZ"/>
        </w:rPr>
      </w:pPr>
      <w:r>
        <w:rPr>
          <w:rStyle w:val="Appelnotedebasdep"/>
        </w:rPr>
        <w:footnoteRef/>
      </w:r>
      <w:r>
        <w:t xml:space="preserve"> Référentiel National d’Assurance qualité des établissements d’Enseignement Supérieur et de Recherche Scientifique, MESERS, Algérie, 2023, p 28.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672AD"/>
    <w:multiLevelType w:val="multilevel"/>
    <w:tmpl w:val="1AF672AD"/>
    <w:lvl w:ilvl="0">
      <w:start w:val="1"/>
      <w:numFmt w:val="bullet"/>
      <w:lvlText w:val="-"/>
      <w:lvlJc w:val="left"/>
      <w:pPr>
        <w:ind w:left="720" w:hanging="360"/>
      </w:pPr>
      <w:rPr>
        <w:rFonts w:ascii="Traditional Arabic" w:eastAsia="Calibri" w:hAnsi="Traditional Arabic" w:cs="Traditional Arabi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2306309"/>
    <w:multiLevelType w:val="multilevel"/>
    <w:tmpl w:val="F3DE36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91E"/>
    <w:rsid w:val="000B2CD2"/>
    <w:rsid w:val="000D7229"/>
    <w:rsid w:val="001064B9"/>
    <w:rsid w:val="00117D6B"/>
    <w:rsid w:val="001569CF"/>
    <w:rsid w:val="001D5C22"/>
    <w:rsid w:val="001E60F8"/>
    <w:rsid w:val="002202B0"/>
    <w:rsid w:val="002D2B3E"/>
    <w:rsid w:val="002E6028"/>
    <w:rsid w:val="00306DBE"/>
    <w:rsid w:val="00343CE3"/>
    <w:rsid w:val="00373A9C"/>
    <w:rsid w:val="00421644"/>
    <w:rsid w:val="00432AC2"/>
    <w:rsid w:val="00457561"/>
    <w:rsid w:val="0046783E"/>
    <w:rsid w:val="00467A40"/>
    <w:rsid w:val="004702F5"/>
    <w:rsid w:val="004855E4"/>
    <w:rsid w:val="004E1C9F"/>
    <w:rsid w:val="004F3D1D"/>
    <w:rsid w:val="00502036"/>
    <w:rsid w:val="0058196C"/>
    <w:rsid w:val="005A703B"/>
    <w:rsid w:val="005B540C"/>
    <w:rsid w:val="0066137B"/>
    <w:rsid w:val="006824B9"/>
    <w:rsid w:val="00755DF4"/>
    <w:rsid w:val="007C6246"/>
    <w:rsid w:val="00835960"/>
    <w:rsid w:val="008379B4"/>
    <w:rsid w:val="00853502"/>
    <w:rsid w:val="008775DC"/>
    <w:rsid w:val="00887EDA"/>
    <w:rsid w:val="008A32B8"/>
    <w:rsid w:val="008B517B"/>
    <w:rsid w:val="008C749B"/>
    <w:rsid w:val="008D75DC"/>
    <w:rsid w:val="008F403C"/>
    <w:rsid w:val="008F64C2"/>
    <w:rsid w:val="009149AD"/>
    <w:rsid w:val="00952093"/>
    <w:rsid w:val="00996A85"/>
    <w:rsid w:val="009F2459"/>
    <w:rsid w:val="00A569EE"/>
    <w:rsid w:val="00A63142"/>
    <w:rsid w:val="00A95FAB"/>
    <w:rsid w:val="00AD191E"/>
    <w:rsid w:val="00B2256E"/>
    <w:rsid w:val="00BD13D3"/>
    <w:rsid w:val="00C4144A"/>
    <w:rsid w:val="00C51648"/>
    <w:rsid w:val="00CB06AD"/>
    <w:rsid w:val="00CB13E9"/>
    <w:rsid w:val="00CD14B5"/>
    <w:rsid w:val="00D66C4E"/>
    <w:rsid w:val="00D87210"/>
    <w:rsid w:val="00DA768A"/>
    <w:rsid w:val="00DE7B10"/>
    <w:rsid w:val="00E25CAC"/>
    <w:rsid w:val="00E470A5"/>
    <w:rsid w:val="00E47D61"/>
    <w:rsid w:val="00E55463"/>
    <w:rsid w:val="00E85733"/>
    <w:rsid w:val="00EB0288"/>
    <w:rsid w:val="00EC2C4E"/>
    <w:rsid w:val="00EE4EEF"/>
    <w:rsid w:val="00F1536C"/>
    <w:rsid w:val="00F15F12"/>
    <w:rsid w:val="00F975C5"/>
    <w:rsid w:val="00FA163C"/>
    <w:rsid w:val="00FB6D73"/>
    <w:rsid w:val="00FF618E"/>
    <w:rsid w:val="69280C1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3D39E"/>
  <w15:docId w15:val="{B0DC3F4E-73D9-4BA3-B194-D1A764AE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line="273" w:lineRule="auto"/>
    </w:pPr>
    <w:rPr>
      <w:rFonts w:ascii="Calibri" w:eastAsia="Times New Roman" w:hAnsi="Calibri"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table" w:customStyle="1" w:styleId="Grilledutableau1">
    <w:name w:val="Grille du tableau1"/>
    <w:basedOn w:val="TableauNormal"/>
    <w:rPr>
      <w:rFonts w:ascii="Times New Roman" w:eastAsia="Times New Roman" w:hAnsi="Times New Roman" w:cs="Times New Roman"/>
    </w:rPr>
    <w:tblPr>
      <w:tblCellMar>
        <w:left w:w="0" w:type="dxa"/>
        <w:right w:w="0" w:type="dxa"/>
      </w:tblCellMar>
    </w:tbl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99"/>
    <w:unhideWhenUsed/>
    <w:rsid w:val="008C7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569EE"/>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A569EE"/>
    <w:rPr>
      <w:rFonts w:ascii="Calibri" w:eastAsia="Times New Roman" w:hAnsi="Calibri" w:cs="Arial"/>
    </w:rPr>
  </w:style>
  <w:style w:type="character" w:styleId="Appelnotedebasdep">
    <w:name w:val="footnote reference"/>
    <w:basedOn w:val="Policepardfaut"/>
    <w:uiPriority w:val="99"/>
    <w:semiHidden/>
    <w:unhideWhenUsed/>
    <w:rsid w:val="00A569EE"/>
    <w:rPr>
      <w:vertAlign w:val="superscript"/>
    </w:rPr>
  </w:style>
  <w:style w:type="character" w:customStyle="1" w:styleId="relative">
    <w:name w:val="relative"/>
    <w:basedOn w:val="Policepardfaut"/>
    <w:rsid w:val="00EB0288"/>
  </w:style>
  <w:style w:type="character" w:customStyle="1" w:styleId="grow">
    <w:name w:val="grow"/>
    <w:basedOn w:val="Policepardfaut"/>
    <w:rsid w:val="001D5C22"/>
  </w:style>
  <w:style w:type="paragraph" w:styleId="En-tte">
    <w:name w:val="header"/>
    <w:basedOn w:val="Normal"/>
    <w:link w:val="En-tteCar"/>
    <w:uiPriority w:val="99"/>
    <w:unhideWhenUsed/>
    <w:rsid w:val="008D75DC"/>
    <w:pPr>
      <w:tabs>
        <w:tab w:val="center" w:pos="4536"/>
        <w:tab w:val="right" w:pos="9072"/>
      </w:tabs>
      <w:spacing w:before="0" w:after="0" w:line="240" w:lineRule="auto"/>
    </w:pPr>
  </w:style>
  <w:style w:type="character" w:customStyle="1" w:styleId="En-tteCar">
    <w:name w:val="En-tête Car"/>
    <w:basedOn w:val="Policepardfaut"/>
    <w:link w:val="En-tte"/>
    <w:uiPriority w:val="99"/>
    <w:rsid w:val="008D75DC"/>
    <w:rPr>
      <w:rFonts w:ascii="Calibri" w:eastAsia="Times New Roman" w:hAnsi="Calibri" w:cs="Arial"/>
      <w:sz w:val="24"/>
      <w:szCs w:val="24"/>
    </w:rPr>
  </w:style>
  <w:style w:type="paragraph" w:styleId="Pieddepage">
    <w:name w:val="footer"/>
    <w:basedOn w:val="Normal"/>
    <w:link w:val="PieddepageCar"/>
    <w:uiPriority w:val="99"/>
    <w:unhideWhenUsed/>
    <w:rsid w:val="008D75DC"/>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8D75DC"/>
    <w:rPr>
      <w:rFonts w:ascii="Calibri" w:eastAsia="Times New Roman" w:hAnsi="Calibri"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057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onia.saouchi@univ-constantine2.dz" TargetMode="External"/><Relationship Id="rId13" Type="http://schemas.openxmlformats.org/officeDocument/2006/relationships/hyperlink" Target="https://dgrsdt.d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srs.dz/index.php/agregats-ar-2024-2025-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srs.dz/index.php/agregats-ar-2024-2025-2/" TargetMode="External"/><Relationship Id="rId5" Type="http://schemas.openxmlformats.org/officeDocument/2006/relationships/webSettings" Target="webSettings.xml"/><Relationship Id="rId15" Type="http://schemas.openxmlformats.org/officeDocument/2006/relationships/hyperlink" Target="https://climate.sustainability-directory.com/term/higher-education-governance"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eriem.bouchoucha@univ-constantine2.dz" TargetMode="External"/><Relationship Id="rId14" Type="http://schemas.openxmlformats.org/officeDocument/2006/relationships/hyperlink" Target="https://ec.europa.eu/programmes/erasmus-plus/project-result-content/ed7c0c0b-3b39-4388-b686-f0b4ae96e147/Quality_Assurance_Manual_final_version_29.04.2018.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climate.sustainability-directory.com/term/higher-education-governance" TargetMode="External"/><Relationship Id="rId1" Type="http://schemas.openxmlformats.org/officeDocument/2006/relationships/hyperlink" Target="https://ec.europa.eu/programmes/erasmus-plus/project-result-content/ed7c0c0b-3b39-4388-b686-f0b4ae96e147/Quality_Assurance_Manual_final_version_29.04.2018.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F1CFE-6F54-4472-90D4-DE49FDBA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17</Pages>
  <Words>3581</Words>
  <Characters>19698</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Bouchoucha</dc:creator>
  <cp:lastModifiedBy>Bouchoucha</cp:lastModifiedBy>
  <cp:revision>40</cp:revision>
  <dcterms:created xsi:type="dcterms:W3CDTF">2025-08-03T15:12:00Z</dcterms:created>
  <dcterms:modified xsi:type="dcterms:W3CDTF">2025-08-07T18:24:00Z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1036-12.2.0.21931</vt:lpwstr>
  </property>
  <property fmtid="{D5CDD505-2E9C-101B-9397-08002B2CF9AE}" pid="3" name="ICV">
    <vt:lpwstr>5495B5AAC7E04655B34440C45D511532_12</vt:lpwstr>
  </property>
</Properties>
</file>